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F7" w:rsidRPr="002845F7" w:rsidRDefault="002845F7" w:rsidP="002845F7">
      <w:pPr>
        <w:shd w:val="clear" w:color="auto" w:fill="FFFFFF"/>
        <w:spacing w:after="0" w:line="338" w:lineRule="atLeast"/>
        <w:jc w:val="center"/>
        <w:rPr>
          <w:rFonts w:ascii="Arial" w:eastAsia="Times New Roman" w:hAnsi="Arial" w:cs="Arial"/>
          <w:color w:val="222222"/>
          <w:sz w:val="23"/>
          <w:szCs w:val="23"/>
        </w:rPr>
      </w:pPr>
      <w:r w:rsidRPr="002845F7">
        <w:rPr>
          <w:rFonts w:ascii="Arial" w:eastAsia="Times New Roman" w:hAnsi="Arial" w:cs="Arial"/>
          <w:b/>
          <w:bCs/>
          <w:color w:val="222222"/>
          <w:sz w:val="23"/>
          <w:szCs w:val="23"/>
        </w:rPr>
        <w:t>135 A.D.3d 41 (2015)</w:t>
      </w:r>
    </w:p>
    <w:p w:rsidR="002845F7" w:rsidRPr="002845F7" w:rsidRDefault="002845F7" w:rsidP="002845F7">
      <w:pPr>
        <w:shd w:val="clear" w:color="auto" w:fill="FFFFFF"/>
        <w:spacing w:after="0" w:line="338" w:lineRule="atLeast"/>
        <w:jc w:val="center"/>
        <w:rPr>
          <w:rFonts w:ascii="Arial" w:eastAsia="Times New Roman" w:hAnsi="Arial" w:cs="Arial"/>
          <w:color w:val="222222"/>
          <w:sz w:val="23"/>
          <w:szCs w:val="23"/>
        </w:rPr>
      </w:pPr>
      <w:proofErr w:type="gramStart"/>
      <w:r w:rsidRPr="002845F7">
        <w:rPr>
          <w:rFonts w:ascii="Arial" w:eastAsia="Times New Roman" w:hAnsi="Arial" w:cs="Arial"/>
          <w:b/>
          <w:bCs/>
          <w:color w:val="222222"/>
          <w:sz w:val="23"/>
          <w:szCs w:val="23"/>
        </w:rPr>
        <w:t>19 N.Y.S.3d 43</w:t>
      </w:r>
      <w:proofErr w:type="gramEnd"/>
    </w:p>
    <w:p w:rsidR="002845F7" w:rsidRPr="002845F7" w:rsidRDefault="002845F7" w:rsidP="002845F7">
      <w:pPr>
        <w:shd w:val="clear" w:color="auto" w:fill="FFFFFF"/>
        <w:spacing w:after="0" w:line="338" w:lineRule="atLeast"/>
        <w:jc w:val="center"/>
        <w:rPr>
          <w:rFonts w:ascii="Arial" w:eastAsia="Times New Roman" w:hAnsi="Arial" w:cs="Arial"/>
          <w:color w:val="222222"/>
          <w:sz w:val="23"/>
          <w:szCs w:val="23"/>
        </w:rPr>
      </w:pPr>
      <w:r w:rsidRPr="002845F7">
        <w:rPr>
          <w:rFonts w:ascii="Arial" w:eastAsia="Times New Roman" w:hAnsi="Arial" w:cs="Arial"/>
          <w:b/>
          <w:bCs/>
          <w:color w:val="222222"/>
          <w:sz w:val="23"/>
          <w:szCs w:val="23"/>
        </w:rPr>
        <w:t>2015 NY Slip Op 07942</w:t>
      </w:r>
    </w:p>
    <w:p w:rsidR="002845F7" w:rsidRPr="002845F7" w:rsidRDefault="002845F7" w:rsidP="002845F7">
      <w:pPr>
        <w:shd w:val="clear" w:color="auto" w:fill="FFFFFF"/>
        <w:spacing w:before="240" w:after="240" w:line="338" w:lineRule="atLeast"/>
        <w:jc w:val="center"/>
        <w:outlineLvl w:val="2"/>
        <w:rPr>
          <w:rFonts w:ascii="Arial" w:eastAsia="Times New Roman" w:hAnsi="Arial" w:cs="Arial"/>
          <w:b/>
          <w:bCs/>
          <w:color w:val="222222"/>
          <w:sz w:val="27"/>
          <w:szCs w:val="27"/>
        </w:rPr>
      </w:pPr>
      <w:r w:rsidRPr="002845F7">
        <w:rPr>
          <w:rFonts w:ascii="Arial" w:eastAsia="Times New Roman" w:hAnsi="Arial" w:cs="Arial"/>
          <w:b/>
          <w:bCs/>
          <w:color w:val="000000"/>
          <w:sz w:val="27"/>
          <w:szCs w:val="27"/>
          <w:shd w:val="clear" w:color="auto" w:fill="FFFFCC"/>
        </w:rPr>
        <w:t>PUBLIC ADJUSTMENT BUREAU</w:t>
      </w:r>
      <w:r w:rsidRPr="002845F7">
        <w:rPr>
          <w:rFonts w:ascii="Arial" w:eastAsia="Times New Roman" w:hAnsi="Arial" w:cs="Arial"/>
          <w:b/>
          <w:bCs/>
          <w:color w:val="222222"/>
          <w:sz w:val="27"/>
          <w:szCs w:val="27"/>
        </w:rPr>
        <w:t>, INC., Appellant</w:t>
      </w:r>
      <w:proofErr w:type="gramStart"/>
      <w:r w:rsidRPr="002845F7">
        <w:rPr>
          <w:rFonts w:ascii="Arial" w:eastAsia="Times New Roman" w:hAnsi="Arial" w:cs="Arial"/>
          <w:b/>
          <w:bCs/>
          <w:color w:val="222222"/>
          <w:sz w:val="27"/>
          <w:szCs w:val="27"/>
        </w:rPr>
        <w:t>,</w:t>
      </w:r>
      <w:proofErr w:type="gramEnd"/>
      <w:r w:rsidRPr="002845F7">
        <w:rPr>
          <w:rFonts w:ascii="Arial" w:eastAsia="Times New Roman" w:hAnsi="Arial" w:cs="Arial"/>
          <w:b/>
          <w:bCs/>
          <w:color w:val="222222"/>
          <w:sz w:val="27"/>
          <w:szCs w:val="27"/>
        </w:rPr>
        <w:br/>
        <w:t>v.</w:t>
      </w:r>
      <w:r w:rsidRPr="002845F7">
        <w:rPr>
          <w:rFonts w:ascii="Arial" w:eastAsia="Times New Roman" w:hAnsi="Arial" w:cs="Arial"/>
          <w:b/>
          <w:bCs/>
          <w:color w:val="222222"/>
          <w:sz w:val="27"/>
          <w:szCs w:val="27"/>
        </w:rPr>
        <w:br/>
        <w:t>GREATER NEW YORK MUTUAL INSURANCE COMPANY, Defendant, and SEWARD PARK HOUSING CORP., Respondent.</w:t>
      </w:r>
    </w:p>
    <w:p w:rsidR="002845F7" w:rsidRPr="002845F7" w:rsidRDefault="002845F7" w:rsidP="002845F7">
      <w:pPr>
        <w:shd w:val="clear" w:color="auto" w:fill="FFFFFF"/>
        <w:spacing w:after="0" w:line="338" w:lineRule="atLeast"/>
        <w:jc w:val="center"/>
        <w:rPr>
          <w:rFonts w:ascii="Arial" w:eastAsia="Times New Roman" w:hAnsi="Arial" w:cs="Arial"/>
          <w:color w:val="222222"/>
          <w:sz w:val="23"/>
          <w:szCs w:val="23"/>
        </w:rPr>
      </w:pPr>
      <w:r w:rsidRPr="002845F7">
        <w:rPr>
          <w:rFonts w:ascii="Arial" w:eastAsia="Times New Roman" w:hAnsi="Arial" w:cs="Arial"/>
          <w:color w:val="222222"/>
          <w:sz w:val="23"/>
          <w:szCs w:val="23"/>
        </w:rPr>
        <w:t>601202/05, 15709</w:t>
      </w:r>
    </w:p>
    <w:p w:rsidR="002845F7" w:rsidRPr="002845F7" w:rsidRDefault="002845F7" w:rsidP="002845F7">
      <w:pPr>
        <w:shd w:val="clear" w:color="auto" w:fill="FFFFFF"/>
        <w:spacing w:before="100" w:beforeAutospacing="1" w:after="100" w:afterAutospacing="1" w:line="338" w:lineRule="atLeast"/>
        <w:jc w:val="center"/>
        <w:rPr>
          <w:rFonts w:ascii="Arial" w:eastAsia="Times New Roman" w:hAnsi="Arial" w:cs="Arial"/>
          <w:color w:val="222222"/>
          <w:sz w:val="23"/>
          <w:szCs w:val="23"/>
        </w:rPr>
      </w:pPr>
      <w:proofErr w:type="gramStart"/>
      <w:r w:rsidRPr="002845F7">
        <w:rPr>
          <w:rFonts w:ascii="Arial" w:eastAsia="Times New Roman" w:hAnsi="Arial" w:cs="Arial"/>
          <w:b/>
          <w:bCs/>
          <w:color w:val="222222"/>
          <w:sz w:val="23"/>
          <w:szCs w:val="23"/>
        </w:rPr>
        <w:t>Appellate Division of the Supreme Court of New York, First Department.</w:t>
      </w:r>
      <w:proofErr w:type="gramEnd"/>
    </w:p>
    <w:p w:rsidR="002845F7" w:rsidRPr="002845F7" w:rsidRDefault="002845F7" w:rsidP="002845F7">
      <w:pPr>
        <w:shd w:val="clear" w:color="auto" w:fill="FFFFFF"/>
        <w:spacing w:after="0" w:line="338" w:lineRule="atLeast"/>
        <w:jc w:val="center"/>
        <w:rPr>
          <w:rFonts w:ascii="Arial" w:eastAsia="Times New Roman" w:hAnsi="Arial" w:cs="Arial"/>
          <w:color w:val="222222"/>
          <w:sz w:val="23"/>
          <w:szCs w:val="23"/>
        </w:rPr>
      </w:pPr>
      <w:proofErr w:type="gramStart"/>
      <w:r w:rsidRPr="002845F7">
        <w:rPr>
          <w:rFonts w:ascii="Arial" w:eastAsia="Times New Roman" w:hAnsi="Arial" w:cs="Arial"/>
          <w:color w:val="222222"/>
          <w:sz w:val="23"/>
          <w:szCs w:val="23"/>
        </w:rPr>
        <w:t>Decided October 29, 2015.</w:t>
      </w:r>
      <w:proofErr w:type="gramEnd"/>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hyperlink r:id="rId5" w:anchor="p42" w:history="1">
        <w:proofErr w:type="gramStart"/>
        <w:r w:rsidRPr="002845F7">
          <w:rPr>
            <w:rFonts w:ascii="Arial" w:eastAsia="Times New Roman" w:hAnsi="Arial" w:cs="Arial"/>
            <w:color w:val="AAAAAA"/>
            <w:sz w:val="20"/>
            <w:szCs w:val="20"/>
            <w:u w:val="single"/>
            <w:shd w:val="clear" w:color="auto" w:fill="FFFFFF"/>
          </w:rPr>
          <w:t>42</w:t>
        </w:r>
      </w:hyperlink>
      <w:hyperlink r:id="rId6" w:anchor="p42" w:history="1">
        <w:r w:rsidRPr="002845F7">
          <w:rPr>
            <w:rFonts w:ascii="Arial" w:eastAsia="Times New Roman" w:hAnsi="Arial" w:cs="Arial"/>
            <w:color w:val="AAAAAA"/>
            <w:sz w:val="20"/>
            <w:szCs w:val="20"/>
            <w:u w:val="single"/>
          </w:rPr>
          <w:t>*42</w:t>
        </w:r>
      </w:hyperlink>
      <w:r w:rsidRPr="002845F7">
        <w:rPr>
          <w:rFonts w:ascii="Arial" w:eastAsia="Times New Roman" w:hAnsi="Arial" w:cs="Arial"/>
          <w:color w:val="222222"/>
          <w:sz w:val="23"/>
          <w:szCs w:val="23"/>
        </w:rPr>
        <w:t> </w:t>
      </w:r>
      <w:proofErr w:type="spellStart"/>
      <w:r w:rsidRPr="002845F7">
        <w:rPr>
          <w:rFonts w:ascii="Arial" w:eastAsia="Times New Roman" w:hAnsi="Arial" w:cs="Arial"/>
          <w:color w:val="222222"/>
          <w:sz w:val="23"/>
          <w:szCs w:val="23"/>
        </w:rPr>
        <w:t>Weg</w:t>
      </w:r>
      <w:proofErr w:type="spellEnd"/>
      <w:r w:rsidRPr="002845F7">
        <w:rPr>
          <w:rFonts w:ascii="Arial" w:eastAsia="Times New Roman" w:hAnsi="Arial" w:cs="Arial"/>
          <w:color w:val="222222"/>
          <w:sz w:val="23"/>
          <w:szCs w:val="23"/>
        </w:rPr>
        <w:t xml:space="preserve"> and Myers, P.C., New York City (Dennis T. D'Antonio, Joshua L. Mallin and Rita Y. Wang of counsel), for appellant.</w:t>
      </w:r>
      <w:proofErr w:type="gramEnd"/>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proofErr w:type="gramStart"/>
      <w:r w:rsidRPr="002845F7">
        <w:rPr>
          <w:rFonts w:ascii="Arial" w:eastAsia="Times New Roman" w:hAnsi="Arial" w:cs="Arial"/>
          <w:color w:val="222222"/>
          <w:sz w:val="23"/>
          <w:szCs w:val="23"/>
        </w:rPr>
        <w:t>Weber Law Group LLP, Melville (Jason A. Stern of counsel), for respondent.</w:t>
      </w:r>
      <w:proofErr w:type="gramEnd"/>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 xml:space="preserve">FRIEDMAN, J.P., ANDRIAS, GISCHE and KAPNICK, JJ. </w:t>
      </w:r>
      <w:proofErr w:type="gramStart"/>
      <w:r w:rsidRPr="002845F7">
        <w:rPr>
          <w:rFonts w:ascii="Arial" w:eastAsia="Times New Roman" w:hAnsi="Arial" w:cs="Arial"/>
          <w:color w:val="222222"/>
          <w:sz w:val="23"/>
          <w:szCs w:val="23"/>
        </w:rPr>
        <w:t>concur</w:t>
      </w:r>
      <w:proofErr w:type="gramEnd"/>
      <w:r w:rsidRPr="002845F7">
        <w:rPr>
          <w:rFonts w:ascii="Arial" w:eastAsia="Times New Roman" w:hAnsi="Arial" w:cs="Arial"/>
          <w:color w:val="222222"/>
          <w:sz w:val="23"/>
          <w:szCs w:val="23"/>
        </w:rPr>
        <w:t>.</w:t>
      </w:r>
    </w:p>
    <w:p w:rsidR="002845F7" w:rsidRPr="002845F7" w:rsidRDefault="002845F7" w:rsidP="002845F7">
      <w:pPr>
        <w:shd w:val="clear" w:color="auto" w:fill="FFFFFF"/>
        <w:spacing w:before="240" w:after="240" w:line="240" w:lineRule="auto"/>
        <w:outlineLvl w:val="1"/>
        <w:rPr>
          <w:rFonts w:ascii="Arial" w:eastAsia="Times New Roman" w:hAnsi="Arial" w:cs="Arial"/>
          <w:b/>
          <w:bCs/>
          <w:color w:val="222222"/>
          <w:sz w:val="36"/>
          <w:szCs w:val="36"/>
        </w:rPr>
      </w:pPr>
      <w:r w:rsidRPr="002845F7">
        <w:rPr>
          <w:rFonts w:ascii="Arial" w:eastAsia="Times New Roman" w:hAnsi="Arial" w:cs="Arial"/>
          <w:b/>
          <w:bCs/>
          <w:color w:val="222222"/>
          <w:sz w:val="36"/>
          <w:szCs w:val="36"/>
        </w:rPr>
        <w:t>OPINION OF THE COURT</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SAXE, J.</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This appeal raises issues regarding the work of public adjusters — those who, under the Insurance Law, may be retained to advocate on behalf of an insured against an insurer to obtain an optimal settlement of the insured's claim — and how and when they earn their fees.</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Following a partial collapse of a garage at the Seward Park Housing Complex on January 15, 1999, defendant Seward Park Housing Corp. made a claim against its insurer, defendant Greater New York Mutual Insurance Company, for its rebuilding costs. To help it make its insurance claim, Seward Park retained plaintiff, </w:t>
      </w:r>
      <w:r w:rsidRPr="002845F7">
        <w:rPr>
          <w:rFonts w:ascii="Arial" w:eastAsia="Times New Roman" w:hAnsi="Arial" w:cs="Arial"/>
          <w:b/>
          <w:bCs/>
          <w:color w:val="000000"/>
          <w:sz w:val="23"/>
          <w:szCs w:val="23"/>
          <w:shd w:val="clear" w:color="auto" w:fill="FFFFCC"/>
        </w:rPr>
        <w:t>Public Adjustment Bureau</w:t>
      </w:r>
      <w:r w:rsidRPr="002845F7">
        <w:rPr>
          <w:rFonts w:ascii="Arial" w:eastAsia="Times New Roman" w:hAnsi="Arial" w:cs="Arial"/>
          <w:color w:val="222222"/>
          <w:sz w:val="23"/>
          <w:szCs w:val="23"/>
        </w:rPr>
        <w:t>, Inc. (PAB), a licensed public adjuster. Seward Park's retainer agreement with PAB stated that PAB would "perform valuable services, to include preparation and submission of claim detail and to advise and assist in the adjustment of the loss," and would be paid "seven percent of the amount of loss and salvage ... when adjusted or otherwise recovered."</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lastRenderedPageBreak/>
        <w:t>PAB's efforts to settle the claim were unsuccessful, and the matter proceeded to trial without any further direct involvement on its part. Ultimately, after a jury verdict in Seward Park's favor and against Greater New York Mutual was vacated in part and the matter remanded for another trial (</w:t>
      </w:r>
      <w:hyperlink r:id="rId7" w:history="1">
        <w:r w:rsidRPr="002845F7">
          <w:rPr>
            <w:rFonts w:ascii="Arial" w:eastAsia="Times New Roman" w:hAnsi="Arial" w:cs="Arial"/>
            <w:i/>
            <w:iCs/>
            <w:color w:val="660099"/>
            <w:sz w:val="23"/>
            <w:szCs w:val="23"/>
            <w:u w:val="single"/>
          </w:rPr>
          <w:t xml:space="preserve">Seward Park </w:t>
        </w:r>
        <w:proofErr w:type="spellStart"/>
        <w:r w:rsidRPr="002845F7">
          <w:rPr>
            <w:rFonts w:ascii="Arial" w:eastAsia="Times New Roman" w:hAnsi="Arial" w:cs="Arial"/>
            <w:i/>
            <w:iCs/>
            <w:color w:val="660099"/>
            <w:sz w:val="23"/>
            <w:szCs w:val="23"/>
            <w:u w:val="single"/>
          </w:rPr>
          <w:t>Hous</w:t>
        </w:r>
        <w:proofErr w:type="spellEnd"/>
        <w:r w:rsidRPr="002845F7">
          <w:rPr>
            <w:rFonts w:ascii="Arial" w:eastAsia="Times New Roman" w:hAnsi="Arial" w:cs="Arial"/>
            <w:i/>
            <w:iCs/>
            <w:color w:val="660099"/>
            <w:sz w:val="23"/>
            <w:szCs w:val="23"/>
            <w:u w:val="single"/>
          </w:rPr>
          <w:t xml:space="preserve">. </w:t>
        </w:r>
        <w:proofErr w:type="gramStart"/>
        <w:r w:rsidRPr="002845F7">
          <w:rPr>
            <w:rFonts w:ascii="Arial" w:eastAsia="Times New Roman" w:hAnsi="Arial" w:cs="Arial"/>
            <w:i/>
            <w:iCs/>
            <w:color w:val="660099"/>
            <w:sz w:val="23"/>
            <w:szCs w:val="23"/>
            <w:u w:val="single"/>
          </w:rPr>
          <w:t xml:space="preserve">Corp. v Greater N.Y. </w:t>
        </w:r>
        <w:proofErr w:type="spellStart"/>
        <w:r w:rsidRPr="002845F7">
          <w:rPr>
            <w:rFonts w:ascii="Arial" w:eastAsia="Times New Roman" w:hAnsi="Arial" w:cs="Arial"/>
            <w:i/>
            <w:iCs/>
            <w:color w:val="660099"/>
            <w:sz w:val="23"/>
            <w:szCs w:val="23"/>
            <w:u w:val="single"/>
          </w:rPr>
          <w:t>Mut</w:t>
        </w:r>
        <w:proofErr w:type="spellEnd"/>
        <w:r w:rsidRPr="002845F7">
          <w:rPr>
            <w:rFonts w:ascii="Arial" w:eastAsia="Times New Roman" w:hAnsi="Arial" w:cs="Arial"/>
            <w:i/>
            <w:iCs/>
            <w:color w:val="660099"/>
            <w:sz w:val="23"/>
            <w:szCs w:val="23"/>
            <w:u w:val="single"/>
          </w:rPr>
          <w:t>.</w:t>
        </w:r>
        <w:proofErr w:type="gramEnd"/>
        <w:r w:rsidRPr="002845F7">
          <w:rPr>
            <w:rFonts w:ascii="Arial" w:eastAsia="Times New Roman" w:hAnsi="Arial" w:cs="Arial"/>
            <w:i/>
            <w:iCs/>
            <w:color w:val="660099"/>
            <w:sz w:val="23"/>
            <w:szCs w:val="23"/>
            <w:u w:val="single"/>
          </w:rPr>
          <w:t xml:space="preserve"> </w:t>
        </w:r>
        <w:proofErr w:type="gramStart"/>
        <w:r w:rsidRPr="002845F7">
          <w:rPr>
            <w:rFonts w:ascii="Arial" w:eastAsia="Times New Roman" w:hAnsi="Arial" w:cs="Arial"/>
            <w:i/>
            <w:iCs/>
            <w:color w:val="660099"/>
            <w:sz w:val="23"/>
            <w:szCs w:val="23"/>
            <w:u w:val="single"/>
          </w:rPr>
          <w:t>Ins. Co.,</w:t>
        </w:r>
        <w:r w:rsidRPr="002845F7">
          <w:rPr>
            <w:rFonts w:ascii="Arial" w:eastAsia="Times New Roman" w:hAnsi="Arial" w:cs="Arial"/>
            <w:color w:val="660099"/>
            <w:sz w:val="23"/>
            <w:szCs w:val="23"/>
            <w:u w:val="single"/>
          </w:rPr>
          <w:t> 43 AD3d 23</w:t>
        </w:r>
      </w:hyperlink>
      <w:r w:rsidRPr="002845F7">
        <w:rPr>
          <w:rFonts w:ascii="Arial" w:eastAsia="Times New Roman" w:hAnsi="Arial" w:cs="Arial"/>
          <w:color w:val="222222"/>
          <w:sz w:val="23"/>
          <w:szCs w:val="23"/>
        </w:rPr>
        <w:t xml:space="preserve"> [1st </w:t>
      </w:r>
      <w:proofErr w:type="spellStart"/>
      <w:r w:rsidRPr="002845F7">
        <w:rPr>
          <w:rFonts w:ascii="Arial" w:eastAsia="Times New Roman" w:hAnsi="Arial" w:cs="Arial"/>
          <w:color w:val="222222"/>
          <w:sz w:val="23"/>
          <w:szCs w:val="23"/>
        </w:rPr>
        <w:t>Dept</w:t>
      </w:r>
      <w:proofErr w:type="spellEnd"/>
      <w:r w:rsidRPr="002845F7">
        <w:rPr>
          <w:rFonts w:ascii="Arial" w:eastAsia="Times New Roman" w:hAnsi="Arial" w:cs="Arial"/>
          <w:color w:val="222222"/>
          <w:sz w:val="23"/>
          <w:szCs w:val="23"/>
        </w:rPr>
        <w:t xml:space="preserve"> 2007]), and after further litigation (</w:t>
      </w:r>
      <w:hyperlink r:id="rId8" w:history="1">
        <w:r w:rsidRPr="002845F7">
          <w:rPr>
            <w:rFonts w:ascii="Arial" w:eastAsia="Times New Roman" w:hAnsi="Arial" w:cs="Arial"/>
            <w:i/>
            <w:iCs/>
            <w:color w:val="660099"/>
            <w:sz w:val="23"/>
            <w:szCs w:val="23"/>
            <w:u w:val="single"/>
          </w:rPr>
          <w:t>Seward Park Hous.</w:t>
        </w:r>
        <w:proofErr w:type="gramEnd"/>
      </w:hyperlink>
      <w:hyperlink r:id="rId9" w:anchor="p43" w:history="1">
        <w:r w:rsidRPr="002845F7">
          <w:rPr>
            <w:rFonts w:ascii="Arial" w:eastAsia="Times New Roman" w:hAnsi="Arial" w:cs="Arial"/>
            <w:color w:val="AAAAAA"/>
            <w:sz w:val="20"/>
            <w:szCs w:val="20"/>
            <w:u w:val="single"/>
            <w:shd w:val="clear" w:color="auto" w:fill="FFFFFF"/>
          </w:rPr>
          <w:t>43</w:t>
        </w:r>
      </w:hyperlink>
      <w:hyperlink r:id="rId10" w:anchor="p43" w:history="1">
        <w:r w:rsidRPr="002845F7">
          <w:rPr>
            <w:rFonts w:ascii="Arial" w:eastAsia="Times New Roman" w:hAnsi="Arial" w:cs="Arial"/>
            <w:color w:val="AAAAAA"/>
            <w:sz w:val="20"/>
            <w:szCs w:val="20"/>
            <w:u w:val="single"/>
          </w:rPr>
          <w:t>*43</w:t>
        </w:r>
      </w:hyperlink>
      <w:hyperlink r:id="rId11" w:history="1">
        <w:r w:rsidRPr="002845F7">
          <w:rPr>
            <w:rFonts w:ascii="Arial" w:eastAsia="Times New Roman" w:hAnsi="Arial" w:cs="Arial"/>
            <w:color w:val="660099"/>
            <w:sz w:val="23"/>
            <w:szCs w:val="23"/>
            <w:u w:val="single"/>
          </w:rPr>
          <w:t> </w:t>
        </w:r>
        <w:r w:rsidRPr="002845F7">
          <w:rPr>
            <w:rFonts w:ascii="Arial" w:eastAsia="Times New Roman" w:hAnsi="Arial" w:cs="Arial"/>
            <w:i/>
            <w:iCs/>
            <w:color w:val="660099"/>
            <w:sz w:val="23"/>
            <w:szCs w:val="23"/>
            <w:u w:val="single"/>
          </w:rPr>
          <w:t xml:space="preserve">Corp. </w:t>
        </w:r>
        <w:proofErr w:type="gramStart"/>
        <w:r w:rsidRPr="002845F7">
          <w:rPr>
            <w:rFonts w:ascii="Arial" w:eastAsia="Times New Roman" w:hAnsi="Arial" w:cs="Arial"/>
            <w:i/>
            <w:iCs/>
            <w:color w:val="660099"/>
            <w:sz w:val="23"/>
            <w:szCs w:val="23"/>
            <w:u w:val="single"/>
          </w:rPr>
          <w:t>v</w:t>
        </w:r>
        <w:proofErr w:type="gramEnd"/>
        <w:r w:rsidRPr="002845F7">
          <w:rPr>
            <w:rFonts w:ascii="Arial" w:eastAsia="Times New Roman" w:hAnsi="Arial" w:cs="Arial"/>
            <w:i/>
            <w:iCs/>
            <w:color w:val="660099"/>
            <w:sz w:val="23"/>
            <w:szCs w:val="23"/>
            <w:u w:val="single"/>
          </w:rPr>
          <w:t xml:space="preserve"> Greater N.Y. </w:t>
        </w:r>
        <w:proofErr w:type="spellStart"/>
        <w:r w:rsidRPr="002845F7">
          <w:rPr>
            <w:rFonts w:ascii="Arial" w:eastAsia="Times New Roman" w:hAnsi="Arial" w:cs="Arial"/>
            <w:i/>
            <w:iCs/>
            <w:color w:val="660099"/>
            <w:sz w:val="23"/>
            <w:szCs w:val="23"/>
            <w:u w:val="single"/>
          </w:rPr>
          <w:t>Mut</w:t>
        </w:r>
        <w:proofErr w:type="spellEnd"/>
        <w:r w:rsidRPr="002845F7">
          <w:rPr>
            <w:rFonts w:ascii="Arial" w:eastAsia="Times New Roman" w:hAnsi="Arial" w:cs="Arial"/>
            <w:i/>
            <w:iCs/>
            <w:color w:val="660099"/>
            <w:sz w:val="23"/>
            <w:szCs w:val="23"/>
            <w:u w:val="single"/>
          </w:rPr>
          <w:t xml:space="preserve">. </w:t>
        </w:r>
        <w:proofErr w:type="gramStart"/>
        <w:r w:rsidRPr="002845F7">
          <w:rPr>
            <w:rFonts w:ascii="Arial" w:eastAsia="Times New Roman" w:hAnsi="Arial" w:cs="Arial"/>
            <w:i/>
            <w:iCs/>
            <w:color w:val="660099"/>
            <w:sz w:val="23"/>
            <w:szCs w:val="23"/>
            <w:u w:val="single"/>
          </w:rPr>
          <w:t>Ins. Co.,</w:t>
        </w:r>
        <w:r w:rsidRPr="002845F7">
          <w:rPr>
            <w:rFonts w:ascii="Arial" w:eastAsia="Times New Roman" w:hAnsi="Arial" w:cs="Arial"/>
            <w:color w:val="660099"/>
            <w:sz w:val="23"/>
            <w:szCs w:val="23"/>
            <w:u w:val="single"/>
          </w:rPr>
          <w:t> 63 AD3d 525</w:t>
        </w:r>
      </w:hyperlink>
      <w:r w:rsidRPr="002845F7">
        <w:rPr>
          <w:rFonts w:ascii="Arial" w:eastAsia="Times New Roman" w:hAnsi="Arial" w:cs="Arial"/>
          <w:color w:val="222222"/>
          <w:sz w:val="23"/>
          <w:szCs w:val="23"/>
        </w:rPr>
        <w:t xml:space="preserve"> [1st </w:t>
      </w:r>
      <w:proofErr w:type="spellStart"/>
      <w:r w:rsidRPr="002845F7">
        <w:rPr>
          <w:rFonts w:ascii="Arial" w:eastAsia="Times New Roman" w:hAnsi="Arial" w:cs="Arial"/>
          <w:color w:val="222222"/>
          <w:sz w:val="23"/>
          <w:szCs w:val="23"/>
        </w:rPr>
        <w:t>Dept</w:t>
      </w:r>
      <w:proofErr w:type="spellEnd"/>
      <w:r w:rsidRPr="002845F7">
        <w:rPr>
          <w:rFonts w:ascii="Arial" w:eastAsia="Times New Roman" w:hAnsi="Arial" w:cs="Arial"/>
          <w:color w:val="222222"/>
          <w:sz w:val="23"/>
          <w:szCs w:val="23"/>
        </w:rPr>
        <w:t xml:space="preserve"> 2009]; </w:t>
      </w:r>
      <w:hyperlink r:id="rId12" w:history="1">
        <w:r w:rsidRPr="002845F7">
          <w:rPr>
            <w:rFonts w:ascii="Arial" w:eastAsia="Times New Roman" w:hAnsi="Arial" w:cs="Arial"/>
            <w:i/>
            <w:iCs/>
            <w:color w:val="660099"/>
            <w:sz w:val="23"/>
            <w:szCs w:val="23"/>
            <w:u w:val="single"/>
          </w:rPr>
          <w:t xml:space="preserve">Seward Park </w:t>
        </w:r>
        <w:proofErr w:type="spellStart"/>
        <w:r w:rsidRPr="002845F7">
          <w:rPr>
            <w:rFonts w:ascii="Arial" w:eastAsia="Times New Roman" w:hAnsi="Arial" w:cs="Arial"/>
            <w:i/>
            <w:iCs/>
            <w:color w:val="660099"/>
            <w:sz w:val="23"/>
            <w:szCs w:val="23"/>
            <w:u w:val="single"/>
          </w:rPr>
          <w:t>Hous</w:t>
        </w:r>
        <w:proofErr w:type="spellEnd"/>
        <w:r w:rsidRPr="002845F7">
          <w:rPr>
            <w:rFonts w:ascii="Arial" w:eastAsia="Times New Roman" w:hAnsi="Arial" w:cs="Arial"/>
            <w:i/>
            <w:iCs/>
            <w:color w:val="660099"/>
            <w:sz w:val="23"/>
            <w:szCs w:val="23"/>
            <w:u w:val="single"/>
          </w:rPr>
          <w:t>.</w:t>
        </w:r>
        <w:proofErr w:type="gramEnd"/>
        <w:r w:rsidRPr="002845F7">
          <w:rPr>
            <w:rFonts w:ascii="Arial" w:eastAsia="Times New Roman" w:hAnsi="Arial" w:cs="Arial"/>
            <w:i/>
            <w:iCs/>
            <w:color w:val="660099"/>
            <w:sz w:val="23"/>
            <w:szCs w:val="23"/>
            <w:u w:val="single"/>
          </w:rPr>
          <w:t xml:space="preserve"> </w:t>
        </w:r>
        <w:proofErr w:type="gramStart"/>
        <w:r w:rsidRPr="002845F7">
          <w:rPr>
            <w:rFonts w:ascii="Arial" w:eastAsia="Times New Roman" w:hAnsi="Arial" w:cs="Arial"/>
            <w:i/>
            <w:iCs/>
            <w:color w:val="660099"/>
            <w:sz w:val="23"/>
            <w:szCs w:val="23"/>
            <w:u w:val="single"/>
          </w:rPr>
          <w:t xml:space="preserve">Corp. v Greater N.Y. </w:t>
        </w:r>
        <w:proofErr w:type="spellStart"/>
        <w:r w:rsidRPr="002845F7">
          <w:rPr>
            <w:rFonts w:ascii="Arial" w:eastAsia="Times New Roman" w:hAnsi="Arial" w:cs="Arial"/>
            <w:i/>
            <w:iCs/>
            <w:color w:val="660099"/>
            <w:sz w:val="23"/>
            <w:szCs w:val="23"/>
            <w:u w:val="single"/>
          </w:rPr>
          <w:t>Mut</w:t>
        </w:r>
        <w:proofErr w:type="spellEnd"/>
        <w:r w:rsidRPr="002845F7">
          <w:rPr>
            <w:rFonts w:ascii="Arial" w:eastAsia="Times New Roman" w:hAnsi="Arial" w:cs="Arial"/>
            <w:i/>
            <w:iCs/>
            <w:color w:val="660099"/>
            <w:sz w:val="23"/>
            <w:szCs w:val="23"/>
            <w:u w:val="single"/>
          </w:rPr>
          <w:t>.</w:t>
        </w:r>
        <w:proofErr w:type="gramEnd"/>
        <w:r w:rsidRPr="002845F7">
          <w:rPr>
            <w:rFonts w:ascii="Arial" w:eastAsia="Times New Roman" w:hAnsi="Arial" w:cs="Arial"/>
            <w:i/>
            <w:iCs/>
            <w:color w:val="660099"/>
            <w:sz w:val="23"/>
            <w:szCs w:val="23"/>
            <w:u w:val="single"/>
          </w:rPr>
          <w:t xml:space="preserve"> Ins. Co.,</w:t>
        </w:r>
        <w:r w:rsidRPr="002845F7">
          <w:rPr>
            <w:rFonts w:ascii="Arial" w:eastAsia="Times New Roman" w:hAnsi="Arial" w:cs="Arial"/>
            <w:color w:val="660099"/>
            <w:sz w:val="23"/>
            <w:szCs w:val="23"/>
            <w:u w:val="single"/>
          </w:rPr>
          <w:t> 70 AD3d 468</w:t>
        </w:r>
      </w:hyperlink>
      <w:r w:rsidRPr="002845F7">
        <w:rPr>
          <w:rFonts w:ascii="Arial" w:eastAsia="Times New Roman" w:hAnsi="Arial" w:cs="Arial"/>
          <w:color w:val="222222"/>
          <w:sz w:val="23"/>
          <w:szCs w:val="23"/>
        </w:rPr>
        <w:t xml:space="preserve"> [1st </w:t>
      </w:r>
      <w:proofErr w:type="spellStart"/>
      <w:r w:rsidRPr="002845F7">
        <w:rPr>
          <w:rFonts w:ascii="Arial" w:eastAsia="Times New Roman" w:hAnsi="Arial" w:cs="Arial"/>
          <w:color w:val="222222"/>
          <w:sz w:val="23"/>
          <w:szCs w:val="23"/>
        </w:rPr>
        <w:t>Dept</w:t>
      </w:r>
      <w:proofErr w:type="spellEnd"/>
      <w:r w:rsidRPr="002845F7">
        <w:rPr>
          <w:rFonts w:ascii="Arial" w:eastAsia="Times New Roman" w:hAnsi="Arial" w:cs="Arial"/>
          <w:color w:val="222222"/>
          <w:sz w:val="23"/>
          <w:szCs w:val="23"/>
        </w:rPr>
        <w:t xml:space="preserve"> 2010]), Seward Park's claim against Greater New York Mutual was settled in May 2010.</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PAB then sued Seward Park, claiming that Seward Park breached their retainer agreement by failing to pay PAB seven percent of the eventual settlement. After this Court reversed a grant of summary judgment dismissing PAB's claim (</w:t>
      </w:r>
      <w:hyperlink r:id="rId13" w:history="1">
        <w:r w:rsidRPr="002845F7">
          <w:rPr>
            <w:rFonts w:ascii="Arial" w:eastAsia="Times New Roman" w:hAnsi="Arial" w:cs="Arial"/>
            <w:i/>
            <w:iCs/>
            <w:color w:val="660099"/>
            <w:sz w:val="23"/>
            <w:szCs w:val="23"/>
            <w:u w:val="single"/>
          </w:rPr>
          <w:t xml:space="preserve">Public Adj. Bur., Inc. v Greater N.Y. </w:t>
        </w:r>
        <w:proofErr w:type="spellStart"/>
        <w:r w:rsidRPr="002845F7">
          <w:rPr>
            <w:rFonts w:ascii="Arial" w:eastAsia="Times New Roman" w:hAnsi="Arial" w:cs="Arial"/>
            <w:i/>
            <w:iCs/>
            <w:color w:val="660099"/>
            <w:sz w:val="23"/>
            <w:szCs w:val="23"/>
            <w:u w:val="single"/>
          </w:rPr>
          <w:t>Mut</w:t>
        </w:r>
        <w:proofErr w:type="spellEnd"/>
        <w:r w:rsidRPr="002845F7">
          <w:rPr>
            <w:rFonts w:ascii="Arial" w:eastAsia="Times New Roman" w:hAnsi="Arial" w:cs="Arial"/>
            <w:i/>
            <w:iCs/>
            <w:color w:val="660099"/>
            <w:sz w:val="23"/>
            <w:szCs w:val="23"/>
            <w:u w:val="single"/>
          </w:rPr>
          <w:t>. Ins. Co.,</w:t>
        </w:r>
        <w:r w:rsidRPr="002845F7">
          <w:rPr>
            <w:rFonts w:ascii="Arial" w:eastAsia="Times New Roman" w:hAnsi="Arial" w:cs="Arial"/>
            <w:color w:val="660099"/>
            <w:sz w:val="23"/>
            <w:szCs w:val="23"/>
            <w:u w:val="single"/>
          </w:rPr>
          <w:t> 98 AD3d 894</w:t>
        </w:r>
      </w:hyperlink>
      <w:r w:rsidRPr="002845F7">
        <w:rPr>
          <w:rFonts w:ascii="Arial" w:eastAsia="Times New Roman" w:hAnsi="Arial" w:cs="Arial"/>
          <w:color w:val="222222"/>
          <w:sz w:val="23"/>
          <w:szCs w:val="23"/>
        </w:rPr>
        <w:t xml:space="preserve"> [1st </w:t>
      </w:r>
      <w:proofErr w:type="spellStart"/>
      <w:r w:rsidRPr="002845F7">
        <w:rPr>
          <w:rFonts w:ascii="Arial" w:eastAsia="Times New Roman" w:hAnsi="Arial" w:cs="Arial"/>
          <w:color w:val="222222"/>
          <w:sz w:val="23"/>
          <w:szCs w:val="23"/>
        </w:rPr>
        <w:t>Dept</w:t>
      </w:r>
      <w:proofErr w:type="spellEnd"/>
      <w:r w:rsidRPr="002845F7">
        <w:rPr>
          <w:rFonts w:ascii="Arial" w:eastAsia="Times New Roman" w:hAnsi="Arial" w:cs="Arial"/>
          <w:color w:val="222222"/>
          <w:sz w:val="23"/>
          <w:szCs w:val="23"/>
        </w:rPr>
        <w:t xml:space="preserve"> 2012]), a trial was held on the issue of whether PAB performed valuable services in connection with Seward Park's recovery against Greater New York Mutual. The jury found in favor of PAB.</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 xml:space="preserve">The trial court then granted Seward Park's motion for a judgment notwithstanding the verdict and dismissed the </w:t>
      </w:r>
      <w:proofErr w:type="gramStart"/>
      <w:r w:rsidRPr="002845F7">
        <w:rPr>
          <w:rFonts w:ascii="Arial" w:eastAsia="Times New Roman" w:hAnsi="Arial" w:cs="Arial"/>
          <w:color w:val="222222"/>
          <w:sz w:val="23"/>
          <w:szCs w:val="23"/>
        </w:rPr>
        <w:t>complaint,</w:t>
      </w:r>
      <w:proofErr w:type="gramEnd"/>
      <w:r w:rsidRPr="002845F7">
        <w:rPr>
          <w:rFonts w:ascii="Arial" w:eastAsia="Times New Roman" w:hAnsi="Arial" w:cs="Arial"/>
          <w:color w:val="222222"/>
          <w:sz w:val="23"/>
          <w:szCs w:val="23"/>
        </w:rPr>
        <w:t xml:space="preserve"> reasoning that PAB's services were limited to a futile initial attempt to settle with Greater New York Mutual and that none of its work was used in the trial against the insurer or to obtain the ultimate settlement. The court expressed the view that "valuable services" "must consist of continuous input that contributed to the settlement or adjustment of the claim," and concluded that PAB made no such continuous input (</w:t>
      </w:r>
      <w:hyperlink r:id="rId14" w:history="1">
        <w:r w:rsidRPr="002845F7">
          <w:rPr>
            <w:rFonts w:ascii="Arial" w:eastAsia="Times New Roman" w:hAnsi="Arial" w:cs="Arial"/>
            <w:i/>
            <w:iCs/>
            <w:color w:val="660099"/>
            <w:sz w:val="23"/>
            <w:szCs w:val="23"/>
            <w:u w:val="single"/>
          </w:rPr>
          <w:t xml:space="preserve">Public Adj. Bur., Inc. v Greater N.Y. </w:t>
        </w:r>
        <w:proofErr w:type="spellStart"/>
        <w:r w:rsidRPr="002845F7">
          <w:rPr>
            <w:rFonts w:ascii="Arial" w:eastAsia="Times New Roman" w:hAnsi="Arial" w:cs="Arial"/>
            <w:i/>
            <w:iCs/>
            <w:color w:val="660099"/>
            <w:sz w:val="23"/>
            <w:szCs w:val="23"/>
            <w:u w:val="single"/>
          </w:rPr>
          <w:t>Mut</w:t>
        </w:r>
        <w:proofErr w:type="spellEnd"/>
        <w:r w:rsidRPr="002845F7">
          <w:rPr>
            <w:rFonts w:ascii="Arial" w:eastAsia="Times New Roman" w:hAnsi="Arial" w:cs="Arial"/>
            <w:i/>
            <w:iCs/>
            <w:color w:val="660099"/>
            <w:sz w:val="23"/>
            <w:szCs w:val="23"/>
            <w:u w:val="single"/>
          </w:rPr>
          <w:t>. Ins. Co.</w:t>
        </w:r>
        <w:proofErr w:type="gramStart"/>
        <w:r w:rsidRPr="002845F7">
          <w:rPr>
            <w:rFonts w:ascii="Arial" w:eastAsia="Times New Roman" w:hAnsi="Arial" w:cs="Arial"/>
            <w:i/>
            <w:iCs/>
            <w:color w:val="660099"/>
            <w:sz w:val="23"/>
            <w:szCs w:val="23"/>
            <w:u w:val="single"/>
          </w:rPr>
          <w:t>,</w:t>
        </w:r>
        <w:r w:rsidRPr="002845F7">
          <w:rPr>
            <w:rFonts w:ascii="Arial" w:eastAsia="Times New Roman" w:hAnsi="Arial" w:cs="Arial"/>
            <w:color w:val="660099"/>
            <w:sz w:val="23"/>
            <w:szCs w:val="23"/>
            <w:u w:val="single"/>
          </w:rPr>
          <w:t>2014</w:t>
        </w:r>
        <w:proofErr w:type="gramEnd"/>
        <w:r w:rsidRPr="002845F7">
          <w:rPr>
            <w:rFonts w:ascii="Arial" w:eastAsia="Times New Roman" w:hAnsi="Arial" w:cs="Arial"/>
            <w:color w:val="660099"/>
            <w:sz w:val="23"/>
            <w:szCs w:val="23"/>
            <w:u w:val="single"/>
          </w:rPr>
          <w:t xml:space="preserve"> NY Slip Op 30150</w:t>
        </w:r>
      </w:hyperlink>
      <w:r w:rsidRPr="002845F7">
        <w:rPr>
          <w:rFonts w:ascii="Arial" w:eastAsia="Times New Roman" w:hAnsi="Arial" w:cs="Arial"/>
          <w:color w:val="222222"/>
          <w:sz w:val="23"/>
          <w:szCs w:val="23"/>
        </w:rPr>
        <w:t>[U], *4 [2014]). We disagree.</w:t>
      </w:r>
      <w:bookmarkStart w:id="0" w:name="r[1]"/>
      <w:r w:rsidRPr="002845F7">
        <w:rPr>
          <w:rFonts w:ascii="Arial" w:eastAsia="Times New Roman" w:hAnsi="Arial" w:cs="Arial"/>
          <w:color w:val="222222"/>
          <w:sz w:val="23"/>
          <w:szCs w:val="23"/>
          <w:vertAlign w:val="superscript"/>
        </w:rPr>
        <w:fldChar w:fldCharType="begin"/>
      </w:r>
      <w:r w:rsidRPr="002845F7">
        <w:rPr>
          <w:rFonts w:ascii="Arial" w:eastAsia="Times New Roman" w:hAnsi="Arial" w:cs="Arial"/>
          <w:color w:val="222222"/>
          <w:sz w:val="23"/>
          <w:szCs w:val="23"/>
          <w:vertAlign w:val="superscript"/>
        </w:rPr>
        <w:instrText xml:space="preserve"> HYPERLINK "https://scholar.google.com/scholar_case?case=1007780538639496022&amp;q=%22Public+Adjustment+Bureau%22&amp;hl=en&amp;as_sdt=6,33&amp;as_ylo=2015" \l "[1]" </w:instrText>
      </w:r>
      <w:r w:rsidRPr="002845F7">
        <w:rPr>
          <w:rFonts w:ascii="Arial" w:eastAsia="Times New Roman" w:hAnsi="Arial" w:cs="Arial"/>
          <w:color w:val="222222"/>
          <w:sz w:val="23"/>
          <w:szCs w:val="23"/>
          <w:vertAlign w:val="superscript"/>
        </w:rPr>
        <w:fldChar w:fldCharType="separate"/>
      </w:r>
      <w:r w:rsidRPr="002845F7">
        <w:rPr>
          <w:rFonts w:ascii="Arial" w:eastAsia="Times New Roman" w:hAnsi="Arial" w:cs="Arial"/>
          <w:color w:val="660099"/>
          <w:sz w:val="23"/>
          <w:szCs w:val="23"/>
          <w:u w:val="single"/>
          <w:vertAlign w:val="superscript"/>
        </w:rPr>
        <w:t>[*]</w:t>
      </w:r>
      <w:r w:rsidRPr="002845F7">
        <w:rPr>
          <w:rFonts w:ascii="Arial" w:eastAsia="Times New Roman" w:hAnsi="Arial" w:cs="Arial"/>
          <w:color w:val="222222"/>
          <w:sz w:val="23"/>
          <w:szCs w:val="23"/>
          <w:vertAlign w:val="superscript"/>
        </w:rPr>
        <w:fldChar w:fldCharType="end"/>
      </w:r>
      <w:bookmarkEnd w:id="0"/>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 xml:space="preserve">The work of public adjusters is not widely known about. "[M]any consumers, and even a few insurance analysts, are generally unaware of their existence because most public adjusters do not advertise" (Julie </w:t>
      </w:r>
      <w:proofErr w:type="spellStart"/>
      <w:r w:rsidRPr="002845F7">
        <w:rPr>
          <w:rFonts w:ascii="Arial" w:eastAsia="Times New Roman" w:hAnsi="Arial" w:cs="Arial"/>
          <w:color w:val="222222"/>
          <w:sz w:val="23"/>
          <w:szCs w:val="23"/>
        </w:rPr>
        <w:t>Edelson</w:t>
      </w:r>
      <w:proofErr w:type="spellEnd"/>
      <w:r w:rsidRPr="002845F7">
        <w:rPr>
          <w:rFonts w:ascii="Arial" w:eastAsia="Times New Roman" w:hAnsi="Arial" w:cs="Arial"/>
          <w:color w:val="222222"/>
          <w:sz w:val="23"/>
          <w:szCs w:val="23"/>
        </w:rPr>
        <w:t xml:space="preserve"> </w:t>
      </w:r>
      <w:proofErr w:type="spellStart"/>
      <w:r w:rsidRPr="002845F7">
        <w:rPr>
          <w:rFonts w:ascii="Arial" w:eastAsia="Times New Roman" w:hAnsi="Arial" w:cs="Arial"/>
          <w:color w:val="222222"/>
          <w:sz w:val="23"/>
          <w:szCs w:val="23"/>
        </w:rPr>
        <w:t>Halpert</w:t>
      </w:r>
      <w:proofErr w:type="spellEnd"/>
      <w:r w:rsidRPr="002845F7">
        <w:rPr>
          <w:rFonts w:ascii="Arial" w:eastAsia="Times New Roman" w:hAnsi="Arial" w:cs="Arial"/>
          <w:color w:val="222222"/>
          <w:sz w:val="23"/>
          <w:szCs w:val="23"/>
        </w:rPr>
        <w:t>, </w:t>
      </w:r>
      <w:r w:rsidRPr="002845F7">
        <w:rPr>
          <w:rFonts w:ascii="Arial" w:eastAsia="Times New Roman" w:hAnsi="Arial" w:cs="Arial"/>
          <w:i/>
          <w:iCs/>
          <w:color w:val="222222"/>
          <w:sz w:val="23"/>
          <w:szCs w:val="23"/>
        </w:rPr>
        <w:t>Personal Business; In the Insurance Maze, Adjusters are Selling a Map,</w:t>
      </w:r>
      <w:r w:rsidRPr="002845F7">
        <w:rPr>
          <w:rFonts w:ascii="Arial" w:eastAsia="Times New Roman" w:hAnsi="Arial" w:cs="Arial"/>
          <w:color w:val="222222"/>
          <w:sz w:val="23"/>
          <w:szCs w:val="23"/>
        </w:rPr>
        <w:t> NY Times, Business Day, June 24, 2001, available at http:// www.nytimes.com/2001/06/24/business/personal-business-in- the-insurance-maze-adjusters-are-selling-a-map.html).</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The profession of public adjusting has come a long way from its earliest stages, at least as far back as the 1890s in this state. Public adjusters then handled fire damage insurance claims on behalf of insured property owners, and it appears that the profession was unregulated at that time (</w:t>
      </w:r>
      <w:r w:rsidRPr="002845F7">
        <w:rPr>
          <w:rFonts w:ascii="Arial" w:eastAsia="Times New Roman" w:hAnsi="Arial" w:cs="Arial"/>
          <w:i/>
          <w:iCs/>
          <w:color w:val="222222"/>
          <w:sz w:val="23"/>
          <w:szCs w:val="23"/>
        </w:rPr>
        <w:t>see </w:t>
      </w:r>
      <w:hyperlink r:id="rId15" w:history="1">
        <w:r w:rsidRPr="002845F7">
          <w:rPr>
            <w:rFonts w:ascii="Arial" w:eastAsia="Times New Roman" w:hAnsi="Arial" w:cs="Arial"/>
            <w:i/>
            <w:iCs/>
            <w:color w:val="660099"/>
            <w:sz w:val="23"/>
            <w:szCs w:val="23"/>
            <w:u w:val="single"/>
          </w:rPr>
          <w:t>Milch v Westchester Fire Ins. Co.,</w:t>
        </w:r>
        <w:r w:rsidRPr="002845F7">
          <w:rPr>
            <w:rFonts w:ascii="Arial" w:eastAsia="Times New Roman" w:hAnsi="Arial" w:cs="Arial"/>
            <w:color w:val="660099"/>
            <w:sz w:val="23"/>
            <w:szCs w:val="23"/>
            <w:u w:val="single"/>
          </w:rPr>
          <w:t>13 Misc 231</w:t>
        </w:r>
      </w:hyperlink>
      <w:r w:rsidRPr="002845F7">
        <w:rPr>
          <w:rFonts w:ascii="Arial" w:eastAsia="Times New Roman" w:hAnsi="Arial" w:cs="Arial"/>
          <w:color w:val="222222"/>
          <w:sz w:val="23"/>
          <w:szCs w:val="23"/>
        </w:rPr>
        <w:t> [Ct Common Pleas 1895]). Indeed, in a commentary published in 1890, in a weekly journal of the insurance industry called The Chronicle, the attitude </w:t>
      </w:r>
      <w:hyperlink r:id="rId16" w:anchor="p44" w:history="1">
        <w:r w:rsidRPr="002845F7">
          <w:rPr>
            <w:rFonts w:ascii="Arial" w:eastAsia="Times New Roman" w:hAnsi="Arial" w:cs="Arial"/>
            <w:color w:val="AAAAAA"/>
            <w:sz w:val="20"/>
            <w:szCs w:val="20"/>
            <w:u w:val="single"/>
            <w:shd w:val="clear" w:color="auto" w:fill="FFFFFF"/>
          </w:rPr>
          <w:t>44</w:t>
        </w:r>
      </w:hyperlink>
      <w:hyperlink r:id="rId17" w:anchor="p44" w:history="1">
        <w:r w:rsidRPr="002845F7">
          <w:rPr>
            <w:rFonts w:ascii="Arial" w:eastAsia="Times New Roman" w:hAnsi="Arial" w:cs="Arial"/>
            <w:color w:val="AAAAAA"/>
            <w:sz w:val="20"/>
            <w:szCs w:val="20"/>
            <w:u w:val="single"/>
          </w:rPr>
          <w:t>*44</w:t>
        </w:r>
      </w:hyperlink>
      <w:r w:rsidRPr="002845F7">
        <w:rPr>
          <w:rFonts w:ascii="Arial" w:eastAsia="Times New Roman" w:hAnsi="Arial" w:cs="Arial"/>
          <w:color w:val="222222"/>
          <w:sz w:val="23"/>
          <w:szCs w:val="23"/>
        </w:rPr>
        <w:t xml:space="preserve"> of the insurance industry toward public adjusters is illustrated. The writer characterized public adjusting — perhaps </w:t>
      </w:r>
      <w:r w:rsidRPr="002845F7">
        <w:rPr>
          <w:rFonts w:ascii="Arial" w:eastAsia="Times New Roman" w:hAnsi="Arial" w:cs="Arial"/>
          <w:color w:val="222222"/>
          <w:sz w:val="23"/>
          <w:szCs w:val="23"/>
        </w:rPr>
        <w:lastRenderedPageBreak/>
        <w:t>hyperbolically — as "disreputable" (</w:t>
      </w:r>
      <w:r w:rsidRPr="002845F7">
        <w:rPr>
          <w:rFonts w:ascii="Arial" w:eastAsia="Times New Roman" w:hAnsi="Arial" w:cs="Arial"/>
          <w:i/>
          <w:iCs/>
          <w:color w:val="222222"/>
          <w:sz w:val="23"/>
          <w:szCs w:val="23"/>
        </w:rPr>
        <w:t>see</w:t>
      </w:r>
      <w:r w:rsidRPr="002845F7">
        <w:rPr>
          <w:rFonts w:ascii="Arial" w:eastAsia="Times New Roman" w:hAnsi="Arial" w:cs="Arial"/>
          <w:color w:val="222222"/>
          <w:sz w:val="23"/>
          <w:szCs w:val="23"/>
        </w:rPr>
        <w:t xml:space="preserve"> The Chronicle, A Weekly Insurance Journal, </w:t>
      </w:r>
      <w:proofErr w:type="spellStart"/>
      <w:r w:rsidRPr="002845F7">
        <w:rPr>
          <w:rFonts w:ascii="Arial" w:eastAsia="Times New Roman" w:hAnsi="Arial" w:cs="Arial"/>
          <w:color w:val="222222"/>
          <w:sz w:val="23"/>
          <w:szCs w:val="23"/>
        </w:rPr>
        <w:t>vol</w:t>
      </w:r>
      <w:proofErr w:type="spellEnd"/>
      <w:r w:rsidRPr="002845F7">
        <w:rPr>
          <w:rFonts w:ascii="Arial" w:eastAsia="Times New Roman" w:hAnsi="Arial" w:cs="Arial"/>
          <w:color w:val="222222"/>
          <w:sz w:val="23"/>
          <w:szCs w:val="23"/>
        </w:rPr>
        <w:t xml:space="preserve"> XLVI, No. 26, Thursday, Dec. 25, 1890 at 370-371, available at https://books.google.com/books ?id=</w:t>
      </w:r>
      <w:proofErr w:type="spellStart"/>
      <w:r w:rsidRPr="002845F7">
        <w:rPr>
          <w:rFonts w:ascii="Arial" w:eastAsia="Times New Roman" w:hAnsi="Arial" w:cs="Arial"/>
          <w:color w:val="222222"/>
          <w:sz w:val="23"/>
          <w:szCs w:val="23"/>
        </w:rPr>
        <w:t>RIAoAAAAYAAJ&amp;pg</w:t>
      </w:r>
      <w:proofErr w:type="spellEnd"/>
      <w:r w:rsidRPr="002845F7">
        <w:rPr>
          <w:rFonts w:ascii="Arial" w:eastAsia="Times New Roman" w:hAnsi="Arial" w:cs="Arial"/>
          <w:color w:val="222222"/>
          <w:sz w:val="23"/>
          <w:szCs w:val="23"/>
        </w:rPr>
        <w:t>=PA193&amp;dq=</w:t>
      </w:r>
      <w:proofErr w:type="spellStart"/>
      <w:r w:rsidRPr="002845F7">
        <w:rPr>
          <w:rFonts w:ascii="Arial" w:eastAsia="Times New Roman" w:hAnsi="Arial" w:cs="Arial"/>
          <w:color w:val="222222"/>
          <w:sz w:val="23"/>
          <w:szCs w:val="23"/>
        </w:rPr>
        <w:t>The+Chronicle</w:t>
      </w:r>
      <w:proofErr w:type="spellEnd"/>
      <w:r w:rsidRPr="002845F7">
        <w:rPr>
          <w:rFonts w:ascii="Arial" w:eastAsia="Times New Roman" w:hAnsi="Arial" w:cs="Arial"/>
          <w:color w:val="222222"/>
          <w:sz w:val="23"/>
          <w:szCs w:val="23"/>
        </w:rPr>
        <w:t>+ journal+1890+%22public+adjusters%22&amp;hl=</w:t>
      </w:r>
      <w:proofErr w:type="spellStart"/>
      <w:r w:rsidRPr="002845F7">
        <w:rPr>
          <w:rFonts w:ascii="Arial" w:eastAsia="Times New Roman" w:hAnsi="Arial" w:cs="Arial"/>
          <w:color w:val="222222"/>
          <w:sz w:val="23"/>
          <w:szCs w:val="23"/>
        </w:rPr>
        <w:t>en&amp;sa</w:t>
      </w:r>
      <w:proofErr w:type="spellEnd"/>
      <w:r w:rsidRPr="002845F7">
        <w:rPr>
          <w:rFonts w:ascii="Arial" w:eastAsia="Times New Roman" w:hAnsi="Arial" w:cs="Arial"/>
          <w:color w:val="222222"/>
          <w:sz w:val="23"/>
          <w:szCs w:val="23"/>
        </w:rPr>
        <w:t>=</w:t>
      </w:r>
      <w:proofErr w:type="spellStart"/>
      <w:r w:rsidRPr="002845F7">
        <w:rPr>
          <w:rFonts w:ascii="Arial" w:eastAsia="Times New Roman" w:hAnsi="Arial" w:cs="Arial"/>
          <w:color w:val="222222"/>
          <w:sz w:val="23"/>
          <w:szCs w:val="23"/>
        </w:rPr>
        <w:t>X&amp;ved</w:t>
      </w:r>
      <w:proofErr w:type="spellEnd"/>
      <w:r w:rsidRPr="002845F7">
        <w:rPr>
          <w:rFonts w:ascii="Arial" w:eastAsia="Times New Roman" w:hAnsi="Arial" w:cs="Arial"/>
          <w:color w:val="222222"/>
          <w:sz w:val="23"/>
          <w:szCs w:val="23"/>
        </w:rPr>
        <w:t xml:space="preserve">= 0CC8Q6AEwAGoVChMI98CSybaSyAIVwVw-Ch0ylgYu#v= </w:t>
      </w:r>
      <w:proofErr w:type="spellStart"/>
      <w:r w:rsidRPr="002845F7">
        <w:rPr>
          <w:rFonts w:ascii="Arial" w:eastAsia="Times New Roman" w:hAnsi="Arial" w:cs="Arial"/>
          <w:color w:val="222222"/>
          <w:sz w:val="23"/>
          <w:szCs w:val="23"/>
        </w:rPr>
        <w:t>onepage&amp;q</w:t>
      </w:r>
      <w:proofErr w:type="spellEnd"/>
      <w:r w:rsidRPr="002845F7">
        <w:rPr>
          <w:rFonts w:ascii="Arial" w:eastAsia="Times New Roman" w:hAnsi="Arial" w:cs="Arial"/>
          <w:color w:val="222222"/>
          <w:sz w:val="23"/>
          <w:szCs w:val="23"/>
        </w:rPr>
        <w:t>=The%20Chronicle%20journal%201890%20%22 public%20adjusters%22&amp;f=false [accessed Sept. 25, 2015]).</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 xml:space="preserve">With increased statutory regulation, that perception has been altered. The profession became regulated by the enactment of Insurance Law § 138-a, which prohibited working as a public adjuster without a certificate of authority to act as such issued by the superintendent of insurance (L 1913, </w:t>
      </w:r>
      <w:proofErr w:type="spellStart"/>
      <w:r w:rsidRPr="002845F7">
        <w:rPr>
          <w:rFonts w:ascii="Arial" w:eastAsia="Times New Roman" w:hAnsi="Arial" w:cs="Arial"/>
          <w:color w:val="222222"/>
          <w:sz w:val="23"/>
          <w:szCs w:val="23"/>
        </w:rPr>
        <w:t>ch</w:t>
      </w:r>
      <w:proofErr w:type="spellEnd"/>
      <w:r w:rsidRPr="002845F7">
        <w:rPr>
          <w:rFonts w:ascii="Arial" w:eastAsia="Times New Roman" w:hAnsi="Arial" w:cs="Arial"/>
          <w:color w:val="222222"/>
          <w:sz w:val="23"/>
          <w:szCs w:val="23"/>
        </w:rPr>
        <w:t xml:space="preserve"> 522, amending </w:t>
      </w:r>
      <w:proofErr w:type="spellStart"/>
      <w:r w:rsidRPr="002845F7">
        <w:rPr>
          <w:rFonts w:ascii="Arial" w:eastAsia="Times New Roman" w:hAnsi="Arial" w:cs="Arial"/>
          <w:color w:val="222222"/>
          <w:sz w:val="23"/>
          <w:szCs w:val="23"/>
        </w:rPr>
        <w:t>ch</w:t>
      </w:r>
      <w:proofErr w:type="spellEnd"/>
      <w:r w:rsidRPr="002845F7">
        <w:rPr>
          <w:rFonts w:ascii="Arial" w:eastAsia="Times New Roman" w:hAnsi="Arial" w:cs="Arial"/>
          <w:color w:val="222222"/>
          <w:sz w:val="23"/>
          <w:szCs w:val="23"/>
        </w:rPr>
        <w:t xml:space="preserve"> 22); the lack of a certificate absolutely precluded a public adjuster from recovering for services it rendered on behalf of an insured (</w:t>
      </w:r>
      <w:r w:rsidRPr="002845F7">
        <w:rPr>
          <w:rFonts w:ascii="Arial" w:eastAsia="Times New Roman" w:hAnsi="Arial" w:cs="Arial"/>
          <w:i/>
          <w:iCs/>
          <w:color w:val="222222"/>
          <w:sz w:val="23"/>
          <w:szCs w:val="23"/>
        </w:rPr>
        <w:t>see </w:t>
      </w:r>
      <w:hyperlink r:id="rId18" w:history="1">
        <w:r w:rsidRPr="002845F7">
          <w:rPr>
            <w:rFonts w:ascii="Arial" w:eastAsia="Times New Roman" w:hAnsi="Arial" w:cs="Arial"/>
            <w:i/>
            <w:iCs/>
            <w:color w:val="660099"/>
            <w:sz w:val="23"/>
            <w:szCs w:val="23"/>
            <w:u w:val="single"/>
          </w:rPr>
          <w:t>Stake &amp; Co. v Roth,</w:t>
        </w:r>
        <w:r w:rsidRPr="002845F7">
          <w:rPr>
            <w:rFonts w:ascii="Arial" w:eastAsia="Times New Roman" w:hAnsi="Arial" w:cs="Arial"/>
            <w:color w:val="660099"/>
            <w:sz w:val="23"/>
            <w:szCs w:val="23"/>
          </w:rPr>
          <w:t> </w:t>
        </w:r>
        <w:r w:rsidRPr="002845F7">
          <w:rPr>
            <w:rFonts w:ascii="Arial" w:eastAsia="Times New Roman" w:hAnsi="Arial" w:cs="Arial"/>
            <w:color w:val="660099"/>
            <w:sz w:val="23"/>
            <w:szCs w:val="23"/>
            <w:u w:val="single"/>
          </w:rPr>
          <w:t xml:space="preserve">91 </w:t>
        </w:r>
        <w:proofErr w:type="spellStart"/>
        <w:r w:rsidRPr="002845F7">
          <w:rPr>
            <w:rFonts w:ascii="Arial" w:eastAsia="Times New Roman" w:hAnsi="Arial" w:cs="Arial"/>
            <w:color w:val="660099"/>
            <w:sz w:val="23"/>
            <w:szCs w:val="23"/>
            <w:u w:val="single"/>
          </w:rPr>
          <w:t>Misc</w:t>
        </w:r>
        <w:proofErr w:type="spellEnd"/>
        <w:r w:rsidRPr="002845F7">
          <w:rPr>
            <w:rFonts w:ascii="Arial" w:eastAsia="Times New Roman" w:hAnsi="Arial" w:cs="Arial"/>
            <w:color w:val="660099"/>
            <w:sz w:val="23"/>
            <w:szCs w:val="23"/>
            <w:u w:val="single"/>
          </w:rPr>
          <w:t xml:space="preserve"> 45</w:t>
        </w:r>
      </w:hyperlink>
      <w:r w:rsidRPr="002845F7">
        <w:rPr>
          <w:rFonts w:ascii="Arial" w:eastAsia="Times New Roman" w:hAnsi="Arial" w:cs="Arial"/>
          <w:color w:val="222222"/>
          <w:sz w:val="23"/>
          <w:szCs w:val="23"/>
        </w:rPr>
        <w:t xml:space="preserve"> [App Term, 1st </w:t>
      </w:r>
      <w:proofErr w:type="spellStart"/>
      <w:r w:rsidRPr="002845F7">
        <w:rPr>
          <w:rFonts w:ascii="Arial" w:eastAsia="Times New Roman" w:hAnsi="Arial" w:cs="Arial"/>
          <w:color w:val="222222"/>
          <w:sz w:val="23"/>
          <w:szCs w:val="23"/>
        </w:rPr>
        <w:t>Dept</w:t>
      </w:r>
      <w:proofErr w:type="spellEnd"/>
      <w:r w:rsidRPr="002845F7">
        <w:rPr>
          <w:rFonts w:ascii="Arial" w:eastAsia="Times New Roman" w:hAnsi="Arial" w:cs="Arial"/>
          <w:color w:val="222222"/>
          <w:sz w:val="23"/>
          <w:szCs w:val="23"/>
        </w:rPr>
        <w:t xml:space="preserve"> 1915], </w:t>
      </w:r>
      <w:proofErr w:type="spellStart"/>
      <w:r w:rsidRPr="002845F7">
        <w:rPr>
          <w:rFonts w:ascii="Arial" w:eastAsia="Times New Roman" w:hAnsi="Arial" w:cs="Arial"/>
          <w:i/>
          <w:iCs/>
          <w:color w:val="222222"/>
          <w:sz w:val="23"/>
          <w:szCs w:val="23"/>
        </w:rPr>
        <w:t>affd</w:t>
      </w:r>
      <w:proofErr w:type="spellEnd"/>
      <w:r w:rsidRPr="002845F7">
        <w:rPr>
          <w:rFonts w:ascii="Arial" w:eastAsia="Times New Roman" w:hAnsi="Arial" w:cs="Arial"/>
          <w:color w:val="222222"/>
          <w:sz w:val="23"/>
          <w:szCs w:val="23"/>
        </w:rPr>
        <w:t xml:space="preserve"> 171 App </w:t>
      </w:r>
      <w:proofErr w:type="spellStart"/>
      <w:r w:rsidRPr="002845F7">
        <w:rPr>
          <w:rFonts w:ascii="Arial" w:eastAsia="Times New Roman" w:hAnsi="Arial" w:cs="Arial"/>
          <w:color w:val="222222"/>
          <w:sz w:val="23"/>
          <w:szCs w:val="23"/>
        </w:rPr>
        <w:t>Div</w:t>
      </w:r>
      <w:proofErr w:type="spellEnd"/>
      <w:r w:rsidRPr="002845F7">
        <w:rPr>
          <w:rFonts w:ascii="Arial" w:eastAsia="Times New Roman" w:hAnsi="Arial" w:cs="Arial"/>
          <w:color w:val="222222"/>
          <w:sz w:val="23"/>
          <w:szCs w:val="23"/>
        </w:rPr>
        <w:t xml:space="preserve"> 914 [1st </w:t>
      </w:r>
      <w:proofErr w:type="spellStart"/>
      <w:r w:rsidRPr="002845F7">
        <w:rPr>
          <w:rFonts w:ascii="Arial" w:eastAsia="Times New Roman" w:hAnsi="Arial" w:cs="Arial"/>
          <w:color w:val="222222"/>
          <w:sz w:val="23"/>
          <w:szCs w:val="23"/>
        </w:rPr>
        <w:t>Dept</w:t>
      </w:r>
      <w:proofErr w:type="spellEnd"/>
      <w:r w:rsidRPr="002845F7">
        <w:rPr>
          <w:rFonts w:ascii="Arial" w:eastAsia="Times New Roman" w:hAnsi="Arial" w:cs="Arial"/>
          <w:color w:val="222222"/>
          <w:sz w:val="23"/>
          <w:szCs w:val="23"/>
        </w:rPr>
        <w:t xml:space="preserve"> 1915]).</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Current law more fully defines and regulates public adjusters in New York. A public adjuster is defined by statute as one who, "for money, commission or any other thing of value, acts or aids in any manner on behalf of an insured in negotiating for, or effecting, the settlement of a claim or claims for loss or damage to property of the insured" (Insurance Law § 2101 [g] [2]). Insurance regulations not only require a compensation agreement for a public adjuster to be entitled to payment (11 NYCRR 25.6), but also prescribe the form of such an agreement (11 NYCRR 25.13 [a], Form 1), and limit a public adjuster's right to a fee to circumstances in which "valuable services" were performed: "If a public adjuster performs no valuable services, and another public adjuster, insurance broker ... or attorney subsequently successfully adjusts such loss, then the first public adjuster shall not be entitled to any compensation whatsoever" (11 NYCRR 25.10 [b]). However, there is no clear definition of "valuable services," or what portion of the ultimate settlement must be attributable to the services of the public adjuster for its services to be deemed "valuable" (</w:t>
      </w:r>
      <w:r w:rsidRPr="002845F7">
        <w:rPr>
          <w:rFonts w:ascii="Arial" w:eastAsia="Times New Roman" w:hAnsi="Arial" w:cs="Arial"/>
          <w:i/>
          <w:iCs/>
          <w:color w:val="222222"/>
          <w:sz w:val="23"/>
          <w:szCs w:val="23"/>
        </w:rPr>
        <w:t>see </w:t>
      </w:r>
      <w:hyperlink r:id="rId19" w:history="1">
        <w:r w:rsidRPr="002845F7">
          <w:rPr>
            <w:rFonts w:ascii="Arial" w:eastAsia="Times New Roman" w:hAnsi="Arial" w:cs="Arial"/>
            <w:i/>
            <w:iCs/>
            <w:color w:val="660099"/>
            <w:sz w:val="23"/>
            <w:szCs w:val="23"/>
            <w:u w:val="single"/>
          </w:rPr>
          <w:t>GS Adj. Co., Inc. v Roth &amp; Roth, L.L.P.,</w:t>
        </w:r>
        <w:r w:rsidRPr="002845F7">
          <w:rPr>
            <w:rFonts w:ascii="Arial" w:eastAsia="Times New Roman" w:hAnsi="Arial" w:cs="Arial"/>
            <w:color w:val="660099"/>
            <w:sz w:val="23"/>
            <w:szCs w:val="23"/>
            <w:u w:val="single"/>
          </w:rPr>
          <w:t> 85 AD3d 467, 468</w:t>
        </w:r>
      </w:hyperlink>
      <w:r w:rsidRPr="002845F7">
        <w:rPr>
          <w:rFonts w:ascii="Arial" w:eastAsia="Times New Roman" w:hAnsi="Arial" w:cs="Arial"/>
          <w:color w:val="222222"/>
          <w:sz w:val="23"/>
          <w:szCs w:val="23"/>
        </w:rPr>
        <w:t xml:space="preserve"> [1st </w:t>
      </w:r>
      <w:proofErr w:type="spellStart"/>
      <w:r w:rsidRPr="002845F7">
        <w:rPr>
          <w:rFonts w:ascii="Arial" w:eastAsia="Times New Roman" w:hAnsi="Arial" w:cs="Arial"/>
          <w:color w:val="222222"/>
          <w:sz w:val="23"/>
          <w:szCs w:val="23"/>
        </w:rPr>
        <w:t>Dept</w:t>
      </w:r>
      <w:proofErr w:type="spellEnd"/>
      <w:r w:rsidRPr="002845F7">
        <w:rPr>
          <w:rFonts w:ascii="Arial" w:eastAsia="Times New Roman" w:hAnsi="Arial" w:cs="Arial"/>
          <w:color w:val="222222"/>
          <w:sz w:val="23"/>
          <w:szCs w:val="23"/>
        </w:rPr>
        <w:t xml:space="preserve"> 2011]). This Court therefore concluded in the prior appeal in this case that the question of whether PAB provided valuable services should be decided by a jury (</w:t>
      </w:r>
      <w:hyperlink r:id="rId20" w:history="1">
        <w:r w:rsidRPr="002845F7">
          <w:rPr>
            <w:rFonts w:ascii="Arial" w:eastAsia="Times New Roman" w:hAnsi="Arial" w:cs="Arial"/>
            <w:i/>
            <w:iCs/>
            <w:color w:val="660099"/>
            <w:sz w:val="23"/>
            <w:szCs w:val="23"/>
            <w:u w:val="single"/>
          </w:rPr>
          <w:t>Public Adj. Bur., Inc.,</w:t>
        </w:r>
        <w:r w:rsidRPr="002845F7">
          <w:rPr>
            <w:rFonts w:ascii="Arial" w:eastAsia="Times New Roman" w:hAnsi="Arial" w:cs="Arial"/>
            <w:color w:val="660099"/>
            <w:sz w:val="23"/>
            <w:szCs w:val="23"/>
            <w:u w:val="single"/>
          </w:rPr>
          <w:t> 98 AD3d 894</w:t>
        </w:r>
      </w:hyperlink>
      <w:r w:rsidRPr="002845F7">
        <w:rPr>
          <w:rFonts w:ascii="Arial" w:eastAsia="Times New Roman" w:hAnsi="Arial" w:cs="Arial"/>
          <w:color w:val="222222"/>
          <w:sz w:val="23"/>
          <w:szCs w:val="23"/>
        </w:rPr>
        <w:t>).</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hyperlink r:id="rId21" w:anchor="p45" w:history="1">
        <w:r w:rsidRPr="002845F7">
          <w:rPr>
            <w:rFonts w:ascii="Arial" w:eastAsia="Times New Roman" w:hAnsi="Arial" w:cs="Arial"/>
            <w:color w:val="AAAAAA"/>
            <w:sz w:val="20"/>
            <w:szCs w:val="20"/>
            <w:u w:val="single"/>
            <w:shd w:val="clear" w:color="auto" w:fill="FFFFFF"/>
          </w:rPr>
          <w:t>45</w:t>
        </w:r>
      </w:hyperlink>
      <w:hyperlink r:id="rId22" w:anchor="p45" w:history="1">
        <w:r w:rsidRPr="002845F7">
          <w:rPr>
            <w:rFonts w:ascii="Arial" w:eastAsia="Times New Roman" w:hAnsi="Arial" w:cs="Arial"/>
            <w:color w:val="AAAAAA"/>
            <w:sz w:val="20"/>
            <w:szCs w:val="20"/>
            <w:u w:val="single"/>
          </w:rPr>
          <w:t>*45</w:t>
        </w:r>
      </w:hyperlink>
      <w:r w:rsidRPr="002845F7">
        <w:rPr>
          <w:rFonts w:ascii="Arial" w:eastAsia="Times New Roman" w:hAnsi="Arial" w:cs="Arial"/>
          <w:color w:val="222222"/>
          <w:sz w:val="23"/>
          <w:szCs w:val="23"/>
        </w:rPr>
        <w:t> </w:t>
      </w:r>
      <w:proofErr w:type="gramStart"/>
      <w:r w:rsidRPr="002845F7">
        <w:rPr>
          <w:rFonts w:ascii="Arial" w:eastAsia="Times New Roman" w:hAnsi="Arial" w:cs="Arial"/>
          <w:color w:val="222222"/>
          <w:sz w:val="23"/>
          <w:szCs w:val="23"/>
        </w:rPr>
        <w:t>The</w:t>
      </w:r>
      <w:proofErr w:type="gramEnd"/>
      <w:r w:rsidRPr="002845F7">
        <w:rPr>
          <w:rFonts w:ascii="Arial" w:eastAsia="Times New Roman" w:hAnsi="Arial" w:cs="Arial"/>
          <w:color w:val="222222"/>
          <w:sz w:val="23"/>
          <w:szCs w:val="23"/>
        </w:rPr>
        <w:t xml:space="preserve"> jury made a finding that PAB provided valuable services to Seward Park in connection with Seward Park's ultimate recovery of its claim against the insurer. Judgment notwithstanding the verdict would be appropriate only if, viewing the evidence in the light most favorable to the plaintiff, there was no valid line of reasoning or permissible inference </w:t>
      </w:r>
      <w:r w:rsidRPr="002845F7">
        <w:rPr>
          <w:rFonts w:ascii="Arial" w:eastAsia="Times New Roman" w:hAnsi="Arial" w:cs="Arial"/>
          <w:color w:val="222222"/>
          <w:sz w:val="23"/>
          <w:szCs w:val="23"/>
        </w:rPr>
        <w:lastRenderedPageBreak/>
        <w:t>that could lead rational persons to make that finding (</w:t>
      </w:r>
      <w:r w:rsidRPr="002845F7">
        <w:rPr>
          <w:rFonts w:ascii="Arial" w:eastAsia="Times New Roman" w:hAnsi="Arial" w:cs="Arial"/>
          <w:i/>
          <w:iCs/>
          <w:color w:val="222222"/>
          <w:sz w:val="23"/>
          <w:szCs w:val="23"/>
        </w:rPr>
        <w:t>see </w:t>
      </w:r>
      <w:hyperlink r:id="rId23" w:history="1">
        <w:r w:rsidRPr="002845F7">
          <w:rPr>
            <w:rFonts w:ascii="Arial" w:eastAsia="Times New Roman" w:hAnsi="Arial" w:cs="Arial"/>
            <w:i/>
            <w:iCs/>
            <w:color w:val="660099"/>
            <w:sz w:val="23"/>
            <w:szCs w:val="23"/>
            <w:u w:val="single"/>
          </w:rPr>
          <w:t>Fritz v White Consol. Indus.,</w:t>
        </w:r>
        <w:r w:rsidRPr="002845F7">
          <w:rPr>
            <w:rFonts w:ascii="Arial" w:eastAsia="Times New Roman" w:hAnsi="Arial" w:cs="Arial"/>
            <w:color w:val="660099"/>
            <w:sz w:val="23"/>
            <w:szCs w:val="23"/>
            <w:u w:val="single"/>
          </w:rPr>
          <w:t> 306 AD2d 896</w:t>
        </w:r>
      </w:hyperlink>
      <w:r w:rsidRPr="002845F7">
        <w:rPr>
          <w:rFonts w:ascii="Arial" w:eastAsia="Times New Roman" w:hAnsi="Arial" w:cs="Arial"/>
          <w:color w:val="222222"/>
          <w:sz w:val="23"/>
          <w:szCs w:val="23"/>
        </w:rPr>
        <w:t xml:space="preserve"> [4th </w:t>
      </w:r>
      <w:proofErr w:type="spellStart"/>
      <w:r w:rsidRPr="002845F7">
        <w:rPr>
          <w:rFonts w:ascii="Arial" w:eastAsia="Times New Roman" w:hAnsi="Arial" w:cs="Arial"/>
          <w:color w:val="222222"/>
          <w:sz w:val="23"/>
          <w:szCs w:val="23"/>
        </w:rPr>
        <w:t>Dept</w:t>
      </w:r>
      <w:proofErr w:type="spellEnd"/>
      <w:r w:rsidRPr="002845F7">
        <w:rPr>
          <w:rFonts w:ascii="Arial" w:eastAsia="Times New Roman" w:hAnsi="Arial" w:cs="Arial"/>
          <w:color w:val="222222"/>
          <w:sz w:val="23"/>
          <w:szCs w:val="23"/>
        </w:rPr>
        <w:t xml:space="preserve"> 2003]).</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 xml:space="preserve">The evidence supporting the verdict consisted of the testimony of Gerald </w:t>
      </w:r>
      <w:proofErr w:type="spellStart"/>
      <w:r w:rsidRPr="002845F7">
        <w:rPr>
          <w:rFonts w:ascii="Arial" w:eastAsia="Times New Roman" w:hAnsi="Arial" w:cs="Arial"/>
          <w:color w:val="222222"/>
          <w:sz w:val="23"/>
          <w:szCs w:val="23"/>
        </w:rPr>
        <w:t>Scheer</w:t>
      </w:r>
      <w:proofErr w:type="spellEnd"/>
      <w:r w:rsidRPr="002845F7">
        <w:rPr>
          <w:rFonts w:ascii="Arial" w:eastAsia="Times New Roman" w:hAnsi="Arial" w:cs="Arial"/>
          <w:color w:val="222222"/>
          <w:sz w:val="23"/>
          <w:szCs w:val="23"/>
        </w:rPr>
        <w:t xml:space="preserve">, the senior PAB employee who handled Seward Park's claim, who established the nature and extent of the services performed by PAB. </w:t>
      </w:r>
      <w:proofErr w:type="spellStart"/>
      <w:r w:rsidRPr="002845F7">
        <w:rPr>
          <w:rFonts w:ascii="Arial" w:eastAsia="Times New Roman" w:hAnsi="Arial" w:cs="Arial"/>
          <w:color w:val="222222"/>
          <w:sz w:val="23"/>
          <w:szCs w:val="23"/>
        </w:rPr>
        <w:t>Scheer</w:t>
      </w:r>
      <w:proofErr w:type="spellEnd"/>
      <w:r w:rsidRPr="002845F7">
        <w:rPr>
          <w:rFonts w:ascii="Arial" w:eastAsia="Times New Roman" w:hAnsi="Arial" w:cs="Arial"/>
          <w:color w:val="222222"/>
          <w:sz w:val="23"/>
          <w:szCs w:val="23"/>
        </w:rPr>
        <w:t xml:space="preserve"> testified that on January 18, 1999, PAB sent Greater New York Mutual a notice of claim, in satisfaction of the notice requirement in the policy. It also cooperated and assisted with document requests from Greater New York Mutual, which were sent directly to PAB. On February 12, 1999, PAB sent Greater New York Mutual a written request for a $100,000 advance, with supporting documentation, on Seward Park's behalf; Greater New York Mutual denied the request.</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 xml:space="preserve">PAB then prepared two proofs of loss: the first, filed in July 1999 — within 60 days of Greater New York </w:t>
      </w:r>
      <w:proofErr w:type="spellStart"/>
      <w:r w:rsidRPr="002845F7">
        <w:rPr>
          <w:rFonts w:ascii="Arial" w:eastAsia="Times New Roman" w:hAnsi="Arial" w:cs="Arial"/>
          <w:color w:val="222222"/>
          <w:sz w:val="23"/>
          <w:szCs w:val="23"/>
        </w:rPr>
        <w:t>Mutual's</w:t>
      </w:r>
      <w:proofErr w:type="spellEnd"/>
      <w:r w:rsidRPr="002845F7">
        <w:rPr>
          <w:rFonts w:ascii="Arial" w:eastAsia="Times New Roman" w:hAnsi="Arial" w:cs="Arial"/>
          <w:color w:val="222222"/>
          <w:sz w:val="23"/>
          <w:szCs w:val="23"/>
        </w:rPr>
        <w:t xml:space="preserve"> request as required by the policy to avoid forfeiture of the claim — provided a preliminary estimate of $3.8 million for repairs; the second, filed in November 1999, estimated repairs at $9.6 million, after the City deemed the standing portion of the garage unsafe and ordered it demolished. For both proofs of loss, PAB hired and met with Robert M. Strongwater Int'l Inc., which conducted inspections of the garage and provided estimates of the cost of repairs. PAB paid Strongwater $29,015 for the first estimate.</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 xml:space="preserve">During this period, </w:t>
      </w:r>
      <w:proofErr w:type="spellStart"/>
      <w:r w:rsidRPr="002845F7">
        <w:rPr>
          <w:rFonts w:ascii="Arial" w:eastAsia="Times New Roman" w:hAnsi="Arial" w:cs="Arial"/>
          <w:color w:val="222222"/>
          <w:sz w:val="23"/>
          <w:szCs w:val="23"/>
        </w:rPr>
        <w:t>Scheer</w:t>
      </w:r>
      <w:proofErr w:type="spellEnd"/>
      <w:r w:rsidRPr="002845F7">
        <w:rPr>
          <w:rFonts w:ascii="Arial" w:eastAsia="Times New Roman" w:hAnsi="Arial" w:cs="Arial"/>
          <w:color w:val="222222"/>
          <w:sz w:val="23"/>
          <w:szCs w:val="23"/>
        </w:rPr>
        <w:t xml:space="preserve"> also conferred with John Doyle at Anderson Kill, Seward Park's then counsel, regarding preparation of the proof of loss. Doyle relied on </w:t>
      </w:r>
      <w:proofErr w:type="spellStart"/>
      <w:r w:rsidRPr="002845F7">
        <w:rPr>
          <w:rFonts w:ascii="Arial" w:eastAsia="Times New Roman" w:hAnsi="Arial" w:cs="Arial"/>
          <w:color w:val="222222"/>
          <w:sz w:val="23"/>
          <w:szCs w:val="23"/>
        </w:rPr>
        <w:t>Strongwater's</w:t>
      </w:r>
      <w:proofErr w:type="spellEnd"/>
      <w:r w:rsidRPr="002845F7">
        <w:rPr>
          <w:rFonts w:ascii="Arial" w:eastAsia="Times New Roman" w:hAnsi="Arial" w:cs="Arial"/>
          <w:color w:val="222222"/>
          <w:sz w:val="23"/>
          <w:szCs w:val="23"/>
        </w:rPr>
        <w:t xml:space="preserve"> estimate to calculate the proof of loss amounts. While </w:t>
      </w:r>
      <w:proofErr w:type="spellStart"/>
      <w:r w:rsidRPr="002845F7">
        <w:rPr>
          <w:rFonts w:ascii="Arial" w:eastAsia="Times New Roman" w:hAnsi="Arial" w:cs="Arial"/>
          <w:color w:val="222222"/>
          <w:sz w:val="23"/>
          <w:szCs w:val="23"/>
        </w:rPr>
        <w:t>Scheer</w:t>
      </w:r>
      <w:proofErr w:type="spellEnd"/>
      <w:r w:rsidRPr="002845F7">
        <w:rPr>
          <w:rFonts w:ascii="Arial" w:eastAsia="Times New Roman" w:hAnsi="Arial" w:cs="Arial"/>
          <w:color w:val="222222"/>
          <w:sz w:val="23"/>
          <w:szCs w:val="23"/>
        </w:rPr>
        <w:t xml:space="preserve"> did not directly take part in the preparations of the third proof of loss, filed by Anderson Kill on December 21, 2000, which estimated the loss at $21 million, Allan Wollman, a property manager at Seward Park, confirmed that as of December 2000, PAB was still working on Seward Park's behalf and communicating with Greater New York Mutual.</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proofErr w:type="spellStart"/>
      <w:r w:rsidRPr="002845F7">
        <w:rPr>
          <w:rFonts w:ascii="Arial" w:eastAsia="Times New Roman" w:hAnsi="Arial" w:cs="Arial"/>
          <w:color w:val="222222"/>
          <w:sz w:val="23"/>
          <w:szCs w:val="23"/>
        </w:rPr>
        <w:t>Scheer</w:t>
      </w:r>
      <w:proofErr w:type="spellEnd"/>
      <w:r w:rsidRPr="002845F7">
        <w:rPr>
          <w:rFonts w:ascii="Arial" w:eastAsia="Times New Roman" w:hAnsi="Arial" w:cs="Arial"/>
          <w:color w:val="222222"/>
          <w:sz w:val="23"/>
          <w:szCs w:val="23"/>
        </w:rPr>
        <w:t xml:space="preserve"> also attended meetings with forensic engineers and others to discuss the cause of the garage collapse, and reviewed and commented on claim documents at the request of Seward Park's insurance agent, </w:t>
      </w:r>
      <w:proofErr w:type="spellStart"/>
      <w:r w:rsidRPr="002845F7">
        <w:rPr>
          <w:rFonts w:ascii="Arial" w:eastAsia="Times New Roman" w:hAnsi="Arial" w:cs="Arial"/>
          <w:color w:val="222222"/>
          <w:sz w:val="23"/>
          <w:szCs w:val="23"/>
        </w:rPr>
        <w:t>Frenkel</w:t>
      </w:r>
      <w:proofErr w:type="spellEnd"/>
      <w:r w:rsidRPr="002845F7">
        <w:rPr>
          <w:rFonts w:ascii="Arial" w:eastAsia="Times New Roman" w:hAnsi="Arial" w:cs="Arial"/>
          <w:color w:val="222222"/>
          <w:sz w:val="23"/>
          <w:szCs w:val="23"/>
        </w:rPr>
        <w:t xml:space="preserve"> &amp; Company, Inc.</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hyperlink r:id="rId24" w:anchor="p46" w:history="1">
        <w:r w:rsidRPr="002845F7">
          <w:rPr>
            <w:rFonts w:ascii="Arial" w:eastAsia="Times New Roman" w:hAnsi="Arial" w:cs="Arial"/>
            <w:color w:val="AAAAAA"/>
            <w:sz w:val="20"/>
            <w:szCs w:val="20"/>
            <w:u w:val="single"/>
            <w:shd w:val="clear" w:color="auto" w:fill="FFFFFF"/>
          </w:rPr>
          <w:t>46</w:t>
        </w:r>
      </w:hyperlink>
      <w:hyperlink r:id="rId25" w:anchor="p46" w:history="1">
        <w:r w:rsidRPr="002845F7">
          <w:rPr>
            <w:rFonts w:ascii="Arial" w:eastAsia="Times New Roman" w:hAnsi="Arial" w:cs="Arial"/>
            <w:color w:val="AAAAAA"/>
            <w:sz w:val="20"/>
            <w:szCs w:val="20"/>
            <w:u w:val="single"/>
          </w:rPr>
          <w:t>*46</w:t>
        </w:r>
      </w:hyperlink>
      <w:r w:rsidRPr="002845F7">
        <w:rPr>
          <w:rFonts w:ascii="Arial" w:eastAsia="Times New Roman" w:hAnsi="Arial" w:cs="Arial"/>
          <w:color w:val="222222"/>
          <w:sz w:val="23"/>
          <w:szCs w:val="23"/>
        </w:rPr>
        <w:t xml:space="preserve"> Viewing the foregoing evidence in the light most favorable to plaintiff, we conclude that there are valid lines of reasoning that could lead rational jurors to find that although PAB was not directly involved in the trial against the insurance company, it had provided "valuable services" in connection with the ultimate settlement of Seward Park's insurance claim. These services could have included the preparation of the initial claim forms, the retention of a firm to investigate the damage and repairs, meeting with that firm and with architects, engineers, and counsel to discuss the claim, communicating with the insurance </w:t>
      </w:r>
      <w:r w:rsidRPr="002845F7">
        <w:rPr>
          <w:rFonts w:ascii="Arial" w:eastAsia="Times New Roman" w:hAnsi="Arial" w:cs="Arial"/>
          <w:color w:val="222222"/>
          <w:sz w:val="23"/>
          <w:szCs w:val="23"/>
        </w:rPr>
        <w:lastRenderedPageBreak/>
        <w:t xml:space="preserve">company regarding those repairs, and making </w:t>
      </w:r>
      <w:proofErr w:type="spellStart"/>
      <w:r w:rsidRPr="002845F7">
        <w:rPr>
          <w:rFonts w:ascii="Arial" w:eastAsia="Times New Roman" w:hAnsi="Arial" w:cs="Arial"/>
          <w:color w:val="222222"/>
          <w:sz w:val="23"/>
          <w:szCs w:val="23"/>
        </w:rPr>
        <w:t>Scheer</w:t>
      </w:r>
      <w:proofErr w:type="spellEnd"/>
      <w:r w:rsidRPr="002845F7">
        <w:rPr>
          <w:rFonts w:ascii="Arial" w:eastAsia="Times New Roman" w:hAnsi="Arial" w:cs="Arial"/>
          <w:color w:val="222222"/>
          <w:sz w:val="23"/>
          <w:szCs w:val="23"/>
        </w:rPr>
        <w:t xml:space="preserve"> — who was deposed — available to testify at the trial. From this, the jury could have rationally concluded that PAB's work before trial constituted a valuable contribution to the trial and to the ultimate settlement, if only by preserving Seward Park's claims and aiding in the damages assessment and investigation.</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Seward Park argues that PAB's work may not be deemed valuable because it did not directly procure or contribute to the lawsuit or the ultimate settlement, and because Seward Park could have settled its claim without PAB's input. However, PAB was undisputedly involved in Seward Park's substantial compliance with all policy requirements, which is a prerequisite for an insurer's obligation to pay under the policy (</w:t>
      </w:r>
      <w:r w:rsidRPr="002845F7">
        <w:rPr>
          <w:rFonts w:ascii="Arial" w:eastAsia="Times New Roman" w:hAnsi="Arial" w:cs="Arial"/>
          <w:i/>
          <w:iCs/>
          <w:color w:val="222222"/>
          <w:sz w:val="23"/>
          <w:szCs w:val="23"/>
        </w:rPr>
        <w:t>see </w:t>
      </w:r>
      <w:hyperlink r:id="rId26" w:history="1">
        <w:r w:rsidRPr="002845F7">
          <w:rPr>
            <w:rFonts w:ascii="Arial" w:eastAsia="Times New Roman" w:hAnsi="Arial" w:cs="Arial"/>
            <w:i/>
            <w:iCs/>
            <w:color w:val="660099"/>
            <w:sz w:val="23"/>
            <w:szCs w:val="23"/>
            <w:u w:val="single"/>
          </w:rPr>
          <w:t>Raymond v Allstate Ins. Co.,</w:t>
        </w:r>
        <w:r w:rsidRPr="002845F7">
          <w:rPr>
            <w:rFonts w:ascii="Arial" w:eastAsia="Times New Roman" w:hAnsi="Arial" w:cs="Arial"/>
            <w:color w:val="660099"/>
            <w:sz w:val="23"/>
            <w:szCs w:val="23"/>
            <w:u w:val="single"/>
          </w:rPr>
          <w:t> 94 AD2d 301, 305</w:t>
        </w:r>
      </w:hyperlink>
      <w:r w:rsidRPr="002845F7">
        <w:rPr>
          <w:rFonts w:ascii="Arial" w:eastAsia="Times New Roman" w:hAnsi="Arial" w:cs="Arial"/>
          <w:color w:val="222222"/>
          <w:sz w:val="23"/>
          <w:szCs w:val="23"/>
        </w:rPr>
        <w:t xml:space="preserve"> [1st </w:t>
      </w:r>
      <w:proofErr w:type="spellStart"/>
      <w:r w:rsidRPr="002845F7">
        <w:rPr>
          <w:rFonts w:ascii="Arial" w:eastAsia="Times New Roman" w:hAnsi="Arial" w:cs="Arial"/>
          <w:color w:val="222222"/>
          <w:sz w:val="23"/>
          <w:szCs w:val="23"/>
        </w:rPr>
        <w:t>Dept</w:t>
      </w:r>
      <w:proofErr w:type="spellEnd"/>
      <w:r w:rsidRPr="002845F7">
        <w:rPr>
          <w:rFonts w:ascii="Arial" w:eastAsia="Times New Roman" w:hAnsi="Arial" w:cs="Arial"/>
          <w:color w:val="222222"/>
          <w:sz w:val="23"/>
          <w:szCs w:val="23"/>
        </w:rPr>
        <w:t xml:space="preserve"> 1983], </w:t>
      </w:r>
      <w:r w:rsidRPr="002845F7">
        <w:rPr>
          <w:rFonts w:ascii="Arial" w:eastAsia="Times New Roman" w:hAnsi="Arial" w:cs="Arial"/>
          <w:i/>
          <w:iCs/>
          <w:color w:val="222222"/>
          <w:sz w:val="23"/>
          <w:szCs w:val="23"/>
        </w:rPr>
        <w:t>appeal dismissed</w:t>
      </w:r>
      <w:r w:rsidRPr="002845F7">
        <w:rPr>
          <w:rFonts w:ascii="Arial" w:eastAsia="Times New Roman" w:hAnsi="Arial" w:cs="Arial"/>
          <w:color w:val="222222"/>
          <w:sz w:val="23"/>
          <w:szCs w:val="23"/>
        </w:rPr>
        <w:t> 60 NY2d 612 [1983]).</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 xml:space="preserve">Seward Park also argues that PAB failed to establish that but for PAB's </w:t>
      </w:r>
      <w:proofErr w:type="gramStart"/>
      <w:r w:rsidRPr="002845F7">
        <w:rPr>
          <w:rFonts w:ascii="Arial" w:eastAsia="Times New Roman" w:hAnsi="Arial" w:cs="Arial"/>
          <w:color w:val="222222"/>
          <w:sz w:val="23"/>
          <w:szCs w:val="23"/>
        </w:rPr>
        <w:t>conduct,</w:t>
      </w:r>
      <w:proofErr w:type="gramEnd"/>
      <w:r w:rsidRPr="002845F7">
        <w:rPr>
          <w:rFonts w:ascii="Arial" w:eastAsia="Times New Roman" w:hAnsi="Arial" w:cs="Arial"/>
          <w:color w:val="222222"/>
          <w:sz w:val="23"/>
          <w:szCs w:val="23"/>
        </w:rPr>
        <w:t xml:space="preserve"> Seward Park would not have recovered against its insurer. However, neither the Insurance Law nor the retainer agreement requires a "direct and proximate link," or the actual procurement of a settlement. Each requires merely that the public adjuster provide "valuable services" in connection with a settlement.</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We find no basis in the Insurance Law or the related regulations for the trial court's imposition of the requirement that a public adjuster provide "continuous input" in the settlement process to be entitled to its fee (</w:t>
      </w:r>
      <w:hyperlink r:id="rId27" w:history="1">
        <w:r w:rsidRPr="002845F7">
          <w:rPr>
            <w:rFonts w:ascii="Arial" w:eastAsia="Times New Roman" w:hAnsi="Arial" w:cs="Arial"/>
            <w:i/>
            <w:iCs/>
            <w:color w:val="660099"/>
            <w:sz w:val="23"/>
            <w:szCs w:val="23"/>
            <w:u w:val="single"/>
          </w:rPr>
          <w:t>Public Adj. Bur., Inc.,</w:t>
        </w:r>
        <w:r w:rsidRPr="002845F7">
          <w:rPr>
            <w:rFonts w:ascii="Arial" w:eastAsia="Times New Roman" w:hAnsi="Arial" w:cs="Arial"/>
            <w:color w:val="660099"/>
            <w:sz w:val="23"/>
            <w:szCs w:val="23"/>
            <w:u w:val="single"/>
          </w:rPr>
          <w:t> 2014 NY Slip Op 30150</w:t>
        </w:r>
      </w:hyperlink>
      <w:r w:rsidRPr="002845F7">
        <w:rPr>
          <w:rFonts w:ascii="Arial" w:eastAsia="Times New Roman" w:hAnsi="Arial" w:cs="Arial"/>
          <w:color w:val="222222"/>
          <w:sz w:val="23"/>
          <w:szCs w:val="23"/>
        </w:rPr>
        <w:t>[U], *4).</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Nor do the Insurance Law or regulations justify applying to this dispute the law relating to real estate brokers' claims for commissions. It is true that a real estate broker's commission is owed only when the broker is the "procuring cause" of the sale, i.e., when there is a "direct and proximate link" between </w:t>
      </w:r>
      <w:hyperlink r:id="rId28" w:anchor="p47" w:history="1">
        <w:r w:rsidRPr="002845F7">
          <w:rPr>
            <w:rFonts w:ascii="Arial" w:eastAsia="Times New Roman" w:hAnsi="Arial" w:cs="Arial"/>
            <w:color w:val="AAAAAA"/>
            <w:sz w:val="20"/>
            <w:szCs w:val="20"/>
            <w:u w:val="single"/>
            <w:shd w:val="clear" w:color="auto" w:fill="FFFFFF"/>
          </w:rPr>
          <w:t>47</w:t>
        </w:r>
      </w:hyperlink>
      <w:hyperlink r:id="rId29" w:anchor="p47" w:history="1">
        <w:r w:rsidRPr="002845F7">
          <w:rPr>
            <w:rFonts w:ascii="Arial" w:eastAsia="Times New Roman" w:hAnsi="Arial" w:cs="Arial"/>
            <w:color w:val="AAAAAA"/>
            <w:sz w:val="20"/>
            <w:szCs w:val="20"/>
            <w:u w:val="single"/>
          </w:rPr>
          <w:t>*47</w:t>
        </w:r>
      </w:hyperlink>
      <w:r w:rsidRPr="002845F7">
        <w:rPr>
          <w:rFonts w:ascii="Arial" w:eastAsia="Times New Roman" w:hAnsi="Arial" w:cs="Arial"/>
          <w:color w:val="222222"/>
          <w:sz w:val="23"/>
          <w:szCs w:val="23"/>
        </w:rPr>
        <w:t> the broker's introduction of the buyer and seller and the "consummation of the transaction" (</w:t>
      </w:r>
      <w:hyperlink r:id="rId30" w:history="1">
        <w:r w:rsidRPr="002845F7">
          <w:rPr>
            <w:rFonts w:ascii="Arial" w:eastAsia="Times New Roman" w:hAnsi="Arial" w:cs="Arial"/>
            <w:i/>
            <w:iCs/>
            <w:color w:val="660099"/>
            <w:sz w:val="23"/>
            <w:szCs w:val="23"/>
            <w:u w:val="single"/>
          </w:rPr>
          <w:t xml:space="preserve">SPRE Realty, Ltd. v </w:t>
        </w:r>
        <w:proofErr w:type="spellStart"/>
        <w:r w:rsidRPr="002845F7">
          <w:rPr>
            <w:rFonts w:ascii="Arial" w:eastAsia="Times New Roman" w:hAnsi="Arial" w:cs="Arial"/>
            <w:i/>
            <w:iCs/>
            <w:color w:val="660099"/>
            <w:sz w:val="23"/>
            <w:szCs w:val="23"/>
            <w:u w:val="single"/>
          </w:rPr>
          <w:t>Dienst</w:t>
        </w:r>
        <w:proofErr w:type="spellEnd"/>
        <w:r w:rsidRPr="002845F7">
          <w:rPr>
            <w:rFonts w:ascii="Arial" w:eastAsia="Times New Roman" w:hAnsi="Arial" w:cs="Arial"/>
            <w:i/>
            <w:iCs/>
            <w:color w:val="660099"/>
            <w:sz w:val="23"/>
            <w:szCs w:val="23"/>
            <w:u w:val="single"/>
          </w:rPr>
          <w:t>,</w:t>
        </w:r>
        <w:r w:rsidRPr="002845F7">
          <w:rPr>
            <w:rFonts w:ascii="Arial" w:eastAsia="Times New Roman" w:hAnsi="Arial" w:cs="Arial"/>
            <w:color w:val="660099"/>
            <w:sz w:val="23"/>
            <w:szCs w:val="23"/>
            <w:u w:val="single"/>
          </w:rPr>
          <w:t> 119 AD3d 93, 95</w:t>
        </w:r>
      </w:hyperlink>
      <w:r w:rsidRPr="002845F7">
        <w:rPr>
          <w:rFonts w:ascii="Arial" w:eastAsia="Times New Roman" w:hAnsi="Arial" w:cs="Arial"/>
          <w:color w:val="222222"/>
          <w:sz w:val="23"/>
          <w:szCs w:val="23"/>
        </w:rPr>
        <w:t xml:space="preserve"> [1st </w:t>
      </w:r>
      <w:proofErr w:type="spellStart"/>
      <w:r w:rsidRPr="002845F7">
        <w:rPr>
          <w:rFonts w:ascii="Arial" w:eastAsia="Times New Roman" w:hAnsi="Arial" w:cs="Arial"/>
          <w:color w:val="222222"/>
          <w:sz w:val="23"/>
          <w:szCs w:val="23"/>
        </w:rPr>
        <w:t>Dept</w:t>
      </w:r>
      <w:proofErr w:type="spellEnd"/>
      <w:r w:rsidRPr="002845F7">
        <w:rPr>
          <w:rFonts w:ascii="Arial" w:eastAsia="Times New Roman" w:hAnsi="Arial" w:cs="Arial"/>
          <w:color w:val="222222"/>
          <w:sz w:val="23"/>
          <w:szCs w:val="23"/>
        </w:rPr>
        <w:t xml:space="preserve"> 2014]), and that a real estate broker is entitled to no commission if its contract terminates before the transaction is negotiated (</w:t>
      </w:r>
      <w:r w:rsidRPr="002845F7">
        <w:rPr>
          <w:rFonts w:ascii="Arial" w:eastAsia="Times New Roman" w:hAnsi="Arial" w:cs="Arial"/>
          <w:i/>
          <w:iCs/>
          <w:color w:val="222222"/>
          <w:sz w:val="23"/>
          <w:szCs w:val="23"/>
        </w:rPr>
        <w:t>see </w:t>
      </w:r>
      <w:hyperlink r:id="rId31" w:history="1">
        <w:r w:rsidRPr="002845F7">
          <w:rPr>
            <w:rFonts w:ascii="Arial" w:eastAsia="Times New Roman" w:hAnsi="Arial" w:cs="Arial"/>
            <w:i/>
            <w:iCs/>
            <w:color w:val="660099"/>
            <w:sz w:val="23"/>
            <w:szCs w:val="23"/>
            <w:u w:val="single"/>
          </w:rPr>
          <w:t>Douglas Real Estate Mgt. Corp. v Montgomery Ward &amp; Co.,</w:t>
        </w:r>
        <w:r w:rsidRPr="002845F7">
          <w:rPr>
            <w:rFonts w:ascii="Arial" w:eastAsia="Times New Roman" w:hAnsi="Arial" w:cs="Arial"/>
            <w:color w:val="660099"/>
            <w:sz w:val="23"/>
            <w:szCs w:val="23"/>
            <w:u w:val="single"/>
          </w:rPr>
          <w:t> 4 NY2d 33, 37 [1958]</w:t>
        </w:r>
      </w:hyperlink>
      <w:r w:rsidRPr="002845F7">
        <w:rPr>
          <w:rFonts w:ascii="Arial" w:eastAsia="Times New Roman" w:hAnsi="Arial" w:cs="Arial"/>
          <w:color w:val="222222"/>
          <w:sz w:val="23"/>
          <w:szCs w:val="23"/>
        </w:rPr>
        <w:t>; </w:t>
      </w:r>
      <w:proofErr w:type="spellStart"/>
      <w:r w:rsidRPr="002845F7">
        <w:rPr>
          <w:rFonts w:ascii="Arial" w:eastAsia="Times New Roman" w:hAnsi="Arial" w:cs="Arial"/>
          <w:color w:val="222222"/>
          <w:sz w:val="23"/>
          <w:szCs w:val="23"/>
        </w:rPr>
        <w:fldChar w:fldCharType="begin"/>
      </w:r>
      <w:r w:rsidRPr="002845F7">
        <w:rPr>
          <w:rFonts w:ascii="Arial" w:eastAsia="Times New Roman" w:hAnsi="Arial" w:cs="Arial"/>
          <w:color w:val="222222"/>
          <w:sz w:val="23"/>
          <w:szCs w:val="23"/>
        </w:rPr>
        <w:instrText xml:space="preserve"> HYPERLINK "https://scholar.google.com/scholar_case?case=2431323447357356988&amp;q=%22Public+Adjustment+Bureau%22&amp;hl=en&amp;as_sdt=6,33&amp;as_ylo=2015" </w:instrText>
      </w:r>
      <w:r w:rsidRPr="002845F7">
        <w:rPr>
          <w:rFonts w:ascii="Arial" w:eastAsia="Times New Roman" w:hAnsi="Arial" w:cs="Arial"/>
          <w:color w:val="222222"/>
          <w:sz w:val="23"/>
          <w:szCs w:val="23"/>
        </w:rPr>
        <w:fldChar w:fldCharType="separate"/>
      </w:r>
      <w:r w:rsidRPr="002845F7">
        <w:rPr>
          <w:rFonts w:ascii="Arial" w:eastAsia="Times New Roman" w:hAnsi="Arial" w:cs="Arial"/>
          <w:i/>
          <w:iCs/>
          <w:color w:val="660099"/>
          <w:sz w:val="23"/>
          <w:szCs w:val="23"/>
          <w:u w:val="single"/>
        </w:rPr>
        <w:t>Jagarnauth</w:t>
      </w:r>
      <w:proofErr w:type="spellEnd"/>
      <w:r w:rsidRPr="002845F7">
        <w:rPr>
          <w:rFonts w:ascii="Arial" w:eastAsia="Times New Roman" w:hAnsi="Arial" w:cs="Arial"/>
          <w:i/>
          <w:iCs/>
          <w:color w:val="660099"/>
          <w:sz w:val="23"/>
          <w:szCs w:val="23"/>
          <w:u w:val="single"/>
        </w:rPr>
        <w:t xml:space="preserve"> v Massey </w:t>
      </w:r>
      <w:proofErr w:type="spellStart"/>
      <w:r w:rsidRPr="002845F7">
        <w:rPr>
          <w:rFonts w:ascii="Arial" w:eastAsia="Times New Roman" w:hAnsi="Arial" w:cs="Arial"/>
          <w:i/>
          <w:iCs/>
          <w:color w:val="660099"/>
          <w:sz w:val="23"/>
          <w:szCs w:val="23"/>
          <w:u w:val="single"/>
        </w:rPr>
        <w:t>Knakal</w:t>
      </w:r>
      <w:proofErr w:type="spellEnd"/>
      <w:r w:rsidRPr="002845F7">
        <w:rPr>
          <w:rFonts w:ascii="Arial" w:eastAsia="Times New Roman" w:hAnsi="Arial" w:cs="Arial"/>
          <w:i/>
          <w:iCs/>
          <w:color w:val="660099"/>
          <w:sz w:val="23"/>
          <w:szCs w:val="23"/>
          <w:u w:val="single"/>
        </w:rPr>
        <w:t xml:space="preserve"> Realty </w:t>
      </w:r>
      <w:proofErr w:type="spellStart"/>
      <w:r w:rsidRPr="002845F7">
        <w:rPr>
          <w:rFonts w:ascii="Arial" w:eastAsia="Times New Roman" w:hAnsi="Arial" w:cs="Arial"/>
          <w:i/>
          <w:iCs/>
          <w:color w:val="660099"/>
          <w:sz w:val="23"/>
          <w:szCs w:val="23"/>
          <w:u w:val="single"/>
        </w:rPr>
        <w:t>Servs</w:t>
      </w:r>
      <w:proofErr w:type="spellEnd"/>
      <w:r w:rsidRPr="002845F7">
        <w:rPr>
          <w:rFonts w:ascii="Arial" w:eastAsia="Times New Roman" w:hAnsi="Arial" w:cs="Arial"/>
          <w:i/>
          <w:iCs/>
          <w:color w:val="660099"/>
          <w:sz w:val="23"/>
          <w:szCs w:val="23"/>
          <w:u w:val="single"/>
        </w:rPr>
        <w:t>., Inc.,</w:t>
      </w:r>
      <w:r w:rsidRPr="002845F7">
        <w:rPr>
          <w:rFonts w:ascii="Arial" w:eastAsia="Times New Roman" w:hAnsi="Arial" w:cs="Arial"/>
          <w:color w:val="660099"/>
          <w:sz w:val="23"/>
          <w:szCs w:val="23"/>
          <w:u w:val="single"/>
        </w:rPr>
        <w:t> 104 AD3d 564</w:t>
      </w:r>
      <w:r w:rsidRPr="002845F7">
        <w:rPr>
          <w:rFonts w:ascii="Arial" w:eastAsia="Times New Roman" w:hAnsi="Arial" w:cs="Arial"/>
          <w:color w:val="222222"/>
          <w:sz w:val="23"/>
          <w:szCs w:val="23"/>
        </w:rPr>
        <w:fldChar w:fldCharType="end"/>
      </w:r>
      <w:r w:rsidRPr="002845F7">
        <w:rPr>
          <w:rFonts w:ascii="Arial" w:eastAsia="Times New Roman" w:hAnsi="Arial" w:cs="Arial"/>
          <w:color w:val="222222"/>
          <w:sz w:val="23"/>
          <w:szCs w:val="23"/>
        </w:rPr>
        <w:t xml:space="preserve"> [1st </w:t>
      </w:r>
      <w:proofErr w:type="spellStart"/>
      <w:r w:rsidRPr="002845F7">
        <w:rPr>
          <w:rFonts w:ascii="Arial" w:eastAsia="Times New Roman" w:hAnsi="Arial" w:cs="Arial"/>
          <w:color w:val="222222"/>
          <w:sz w:val="23"/>
          <w:szCs w:val="23"/>
        </w:rPr>
        <w:t>Dept</w:t>
      </w:r>
      <w:proofErr w:type="spellEnd"/>
      <w:r w:rsidRPr="002845F7">
        <w:rPr>
          <w:rFonts w:ascii="Arial" w:eastAsia="Times New Roman" w:hAnsi="Arial" w:cs="Arial"/>
          <w:color w:val="222222"/>
          <w:sz w:val="23"/>
          <w:szCs w:val="23"/>
        </w:rPr>
        <w:t xml:space="preserve"> 2013]). However, the retainer agreement at issue here contemplates that if the public adjuster performed "valuable services, to include preparation and submission of claim detail and to advise and assist in the adjustment of the loss," it would be paid when the loss was "adjusted or otherwise recovered." Notably, nothing about an award of compensation where the public adjuster performed valuable services transgresses the insurance regulation precluding compensation for a public adjuster that "performs no valuable services ... and another public adjuster, insurance broker ... or attorney subsequently successfully adjusts such loss" (11 NYCRR 25.10 [b]).</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lastRenderedPageBreak/>
        <w:t>Accordingly, the order and judgment (one paper) of the Supreme Court, New York County (Louis B. York, J.), entered January 24, 2014, granting defendant Seward Park Housing Corp.'s motion for judgment notwithstanding the verdict and to set aside the verdict, and dismissing the complaint, should be reversed, on the law, without costs, defendant Seward Park Housing Corp.'s motion should be denied, and the complaint and the verdict should be reinstated.</w:t>
      </w:r>
    </w:p>
    <w:p w:rsidR="002845F7" w:rsidRPr="002845F7" w:rsidRDefault="002845F7" w:rsidP="002845F7">
      <w:pPr>
        <w:shd w:val="clear" w:color="auto" w:fill="FFFFFF"/>
        <w:spacing w:before="100" w:beforeAutospacing="1" w:after="100" w:afterAutospacing="1" w:line="338" w:lineRule="atLeast"/>
        <w:rPr>
          <w:rFonts w:ascii="Arial" w:eastAsia="Times New Roman" w:hAnsi="Arial" w:cs="Arial"/>
          <w:color w:val="222222"/>
          <w:sz w:val="23"/>
          <w:szCs w:val="23"/>
        </w:rPr>
      </w:pPr>
      <w:r w:rsidRPr="002845F7">
        <w:rPr>
          <w:rFonts w:ascii="Arial" w:eastAsia="Times New Roman" w:hAnsi="Arial" w:cs="Arial"/>
          <w:color w:val="222222"/>
          <w:sz w:val="23"/>
          <w:szCs w:val="23"/>
        </w:rPr>
        <w:t>Order and Judgment (one paper) Supreme Court, New York County, entered January 24, 2014, reversed, on the law, without costs, defendant Seward Park Housing Corp.'s motion for judgment notwithstanding the verdict and to set aside the verdict denied, and the complaint and the verdict reinstated.</w:t>
      </w:r>
    </w:p>
    <w:bookmarkStart w:id="1" w:name="[1]"/>
    <w:p w:rsidR="002845F7" w:rsidRPr="002845F7" w:rsidRDefault="002845F7" w:rsidP="002845F7">
      <w:pPr>
        <w:spacing w:before="100" w:beforeAutospacing="1" w:after="100" w:afterAutospacing="1" w:line="240" w:lineRule="auto"/>
        <w:rPr>
          <w:rFonts w:ascii="Arial" w:eastAsia="Times New Roman" w:hAnsi="Arial" w:cs="Arial"/>
          <w:color w:val="222222"/>
          <w:sz w:val="18"/>
          <w:szCs w:val="18"/>
          <w:shd w:val="clear" w:color="auto" w:fill="FFFFFF"/>
        </w:rPr>
      </w:pPr>
      <w:r w:rsidRPr="002845F7">
        <w:rPr>
          <w:rFonts w:ascii="Arial" w:eastAsia="Times New Roman" w:hAnsi="Arial" w:cs="Arial"/>
          <w:color w:val="222222"/>
          <w:sz w:val="18"/>
          <w:szCs w:val="18"/>
          <w:shd w:val="clear" w:color="auto" w:fill="FFFFFF"/>
        </w:rPr>
        <w:fldChar w:fldCharType="begin"/>
      </w:r>
      <w:r w:rsidRPr="002845F7">
        <w:rPr>
          <w:rFonts w:ascii="Arial" w:eastAsia="Times New Roman" w:hAnsi="Arial" w:cs="Arial"/>
          <w:color w:val="222222"/>
          <w:sz w:val="18"/>
          <w:szCs w:val="18"/>
          <w:shd w:val="clear" w:color="auto" w:fill="FFFFFF"/>
        </w:rPr>
        <w:instrText xml:space="preserve"> HYPERLINK "https://scholar.google.com/scholar_case?case=1007780538639496022&amp;q=%22Public+Adjustment+Bureau%22&amp;hl=en&amp;as_sdt=6,33&amp;as_ylo=2015" \l "r[1]" </w:instrText>
      </w:r>
      <w:r w:rsidRPr="002845F7">
        <w:rPr>
          <w:rFonts w:ascii="Arial" w:eastAsia="Times New Roman" w:hAnsi="Arial" w:cs="Arial"/>
          <w:color w:val="222222"/>
          <w:sz w:val="18"/>
          <w:szCs w:val="18"/>
          <w:shd w:val="clear" w:color="auto" w:fill="FFFFFF"/>
        </w:rPr>
        <w:fldChar w:fldCharType="separate"/>
      </w:r>
      <w:r w:rsidRPr="002845F7">
        <w:rPr>
          <w:rFonts w:ascii="Arial" w:eastAsia="Times New Roman" w:hAnsi="Arial" w:cs="Arial"/>
          <w:color w:val="660099"/>
          <w:sz w:val="18"/>
          <w:szCs w:val="18"/>
          <w:u w:val="single"/>
          <w:shd w:val="clear" w:color="auto" w:fill="FFFFFF"/>
        </w:rPr>
        <w:t>[*]</w:t>
      </w:r>
      <w:r w:rsidRPr="002845F7">
        <w:rPr>
          <w:rFonts w:ascii="Arial" w:eastAsia="Times New Roman" w:hAnsi="Arial" w:cs="Arial"/>
          <w:color w:val="222222"/>
          <w:sz w:val="18"/>
          <w:szCs w:val="18"/>
          <w:shd w:val="clear" w:color="auto" w:fill="FFFFFF"/>
        </w:rPr>
        <w:fldChar w:fldCharType="end"/>
      </w:r>
      <w:bookmarkEnd w:id="1"/>
      <w:r w:rsidRPr="002845F7">
        <w:rPr>
          <w:rFonts w:ascii="Arial" w:eastAsia="Times New Roman" w:hAnsi="Arial" w:cs="Arial"/>
          <w:color w:val="222222"/>
          <w:sz w:val="18"/>
          <w:szCs w:val="18"/>
          <w:shd w:val="clear" w:color="auto" w:fill="FFFFFF"/>
        </w:rPr>
        <w:t> However, we reject PAB's argument that the trial court's ruling was precluded by the law of the case or any previous rulings.</w:t>
      </w:r>
    </w:p>
    <w:p w:rsidR="001A22D4" w:rsidRDefault="002845F7">
      <w:bookmarkStart w:id="2" w:name="_GoBack"/>
      <w:bookmarkEnd w:id="2"/>
    </w:p>
    <w:sectPr w:rsidR="001A2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F7"/>
    <w:rsid w:val="00156E3B"/>
    <w:rsid w:val="001F4C74"/>
    <w:rsid w:val="0028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6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case?case=2293731451055491773&amp;q=%22Public+Adjustment+Bureau%22&amp;hl=en&amp;as_sdt=6,33&amp;as_ylo=2015" TargetMode="External"/><Relationship Id="rId13" Type="http://schemas.openxmlformats.org/officeDocument/2006/relationships/hyperlink" Target="https://scholar.google.com/scholar_case?case=18243032466147432104&amp;q=%22Public+Adjustment+Bureau%22&amp;hl=en&amp;as_sdt=6,33&amp;as_ylo=2015" TargetMode="External"/><Relationship Id="rId18" Type="http://schemas.openxmlformats.org/officeDocument/2006/relationships/hyperlink" Target="https://scholar.google.com/scholar_case?about=847487522662016867&amp;q=%22Public+Adjustment+Bureau%22&amp;hl=en&amp;as_sdt=6,33&amp;as_ylo=2015" TargetMode="External"/><Relationship Id="rId26" Type="http://schemas.openxmlformats.org/officeDocument/2006/relationships/hyperlink" Target="https://scholar.google.com/scholar_case?case=16305582819097149723&amp;q=%22Public+Adjustment+Bureau%22&amp;hl=en&amp;as_sdt=6,33&amp;as_ylo=2015" TargetMode="External"/><Relationship Id="rId3" Type="http://schemas.openxmlformats.org/officeDocument/2006/relationships/settings" Target="settings.xml"/><Relationship Id="rId21" Type="http://schemas.openxmlformats.org/officeDocument/2006/relationships/hyperlink" Target="https://scholar.google.com/scholar_case?case=1007780538639496022&amp;q=%22Public+Adjustment+Bureau%22&amp;hl=en&amp;as_sdt=6,33&amp;as_ylo=2015" TargetMode="External"/><Relationship Id="rId7" Type="http://schemas.openxmlformats.org/officeDocument/2006/relationships/hyperlink" Target="https://scholar.google.com/scholar_case?case=15968351890732407964&amp;q=%22Public+Adjustment+Bureau%22&amp;hl=en&amp;as_sdt=6,33&amp;as_ylo=2015" TargetMode="External"/><Relationship Id="rId12" Type="http://schemas.openxmlformats.org/officeDocument/2006/relationships/hyperlink" Target="https://scholar.google.com/scholar_case?case=16680793455821120180&amp;q=%22Public+Adjustment+Bureau%22&amp;hl=en&amp;as_sdt=6,33&amp;as_ylo=2015" TargetMode="External"/><Relationship Id="rId17" Type="http://schemas.openxmlformats.org/officeDocument/2006/relationships/hyperlink" Target="https://scholar.google.com/scholar_case?case=1007780538639496022&amp;q=%22Public+Adjustment+Bureau%22&amp;hl=en&amp;as_sdt=6,33&amp;as_ylo=2015" TargetMode="External"/><Relationship Id="rId25" Type="http://schemas.openxmlformats.org/officeDocument/2006/relationships/hyperlink" Target="https://scholar.google.com/scholar_case?case=1007780538639496022&amp;q=%22Public+Adjustment+Bureau%22&amp;hl=en&amp;as_sdt=6,33&amp;as_ylo=2015"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cholar.google.com/scholar_case?case=1007780538639496022&amp;q=%22Public+Adjustment+Bureau%22&amp;hl=en&amp;as_sdt=6,33&amp;as_ylo=2015" TargetMode="External"/><Relationship Id="rId20" Type="http://schemas.openxmlformats.org/officeDocument/2006/relationships/hyperlink" Target="https://scholar.google.com/scholar_case?case=18243032466147432104&amp;q=%22Public+Adjustment+Bureau%22&amp;hl=en&amp;as_sdt=6,33&amp;as_ylo=2015" TargetMode="External"/><Relationship Id="rId29" Type="http://schemas.openxmlformats.org/officeDocument/2006/relationships/hyperlink" Target="https://scholar.google.com/scholar_case?case=1007780538639496022&amp;q=%22Public+Adjustment+Bureau%22&amp;hl=en&amp;as_sdt=6,33&amp;as_ylo=2015" TargetMode="External"/><Relationship Id="rId1" Type="http://schemas.openxmlformats.org/officeDocument/2006/relationships/styles" Target="styles.xml"/><Relationship Id="rId6" Type="http://schemas.openxmlformats.org/officeDocument/2006/relationships/hyperlink" Target="https://scholar.google.com/scholar_case?case=1007780538639496022&amp;q=%22Public+Adjustment+Bureau%22&amp;hl=en&amp;as_sdt=6,33&amp;as_ylo=2015" TargetMode="External"/><Relationship Id="rId11" Type="http://schemas.openxmlformats.org/officeDocument/2006/relationships/hyperlink" Target="https://scholar.google.com/scholar_case?case=2293731451055491773&amp;q=%22Public+Adjustment+Bureau%22&amp;hl=en&amp;as_sdt=6,33&amp;as_ylo=2015" TargetMode="External"/><Relationship Id="rId24" Type="http://schemas.openxmlformats.org/officeDocument/2006/relationships/hyperlink" Target="https://scholar.google.com/scholar_case?case=1007780538639496022&amp;q=%22Public+Adjustment+Bureau%22&amp;hl=en&amp;as_sdt=6,33&amp;as_ylo=2015" TargetMode="External"/><Relationship Id="rId32" Type="http://schemas.openxmlformats.org/officeDocument/2006/relationships/fontTable" Target="fontTable.xml"/><Relationship Id="rId5" Type="http://schemas.openxmlformats.org/officeDocument/2006/relationships/hyperlink" Target="https://scholar.google.com/scholar_case?case=1007780538639496022&amp;q=%22Public+Adjustment+Bureau%22&amp;hl=en&amp;as_sdt=6,33&amp;as_ylo=2015" TargetMode="External"/><Relationship Id="rId15" Type="http://schemas.openxmlformats.org/officeDocument/2006/relationships/hyperlink" Target="https://scholar.google.com/scholar_case?about=14631260009488535815&amp;q=%22Public+Adjustment+Bureau%22&amp;hl=en&amp;as_sdt=6,33&amp;as_ylo=2015" TargetMode="External"/><Relationship Id="rId23" Type="http://schemas.openxmlformats.org/officeDocument/2006/relationships/hyperlink" Target="https://scholar.google.com/scholar_case?case=6963417618597926762&amp;q=%22Public+Adjustment+Bureau%22&amp;hl=en&amp;as_sdt=6,33&amp;as_ylo=2015" TargetMode="External"/><Relationship Id="rId28" Type="http://schemas.openxmlformats.org/officeDocument/2006/relationships/hyperlink" Target="https://scholar.google.com/scholar_case?case=1007780538639496022&amp;q=%22Public+Adjustment+Bureau%22&amp;hl=en&amp;as_sdt=6,33&amp;as_ylo=2015" TargetMode="External"/><Relationship Id="rId10" Type="http://schemas.openxmlformats.org/officeDocument/2006/relationships/hyperlink" Target="https://scholar.google.com/scholar_case?case=1007780538639496022&amp;q=%22Public+Adjustment+Bureau%22&amp;hl=en&amp;as_sdt=6,33&amp;as_ylo=2015" TargetMode="External"/><Relationship Id="rId19" Type="http://schemas.openxmlformats.org/officeDocument/2006/relationships/hyperlink" Target="https://scholar.google.com/scholar_case?case=1670493953283537795&amp;q=%22Public+Adjustment+Bureau%22&amp;hl=en&amp;as_sdt=6,33&amp;as_ylo=2015" TargetMode="External"/><Relationship Id="rId31" Type="http://schemas.openxmlformats.org/officeDocument/2006/relationships/hyperlink" Target="https://scholar.google.com/scholar_case?case=2765319382365848239&amp;q=%22Public+Adjustment+Bureau%22&amp;hl=en&amp;as_sdt=6,33&amp;as_ylo=2015" TargetMode="External"/><Relationship Id="rId4" Type="http://schemas.openxmlformats.org/officeDocument/2006/relationships/webSettings" Target="webSettings.xml"/><Relationship Id="rId9" Type="http://schemas.openxmlformats.org/officeDocument/2006/relationships/hyperlink" Target="https://scholar.google.com/scholar_case?case=1007780538639496022&amp;q=%22Public+Adjustment+Bureau%22&amp;hl=en&amp;as_sdt=6,33&amp;as_ylo=2015" TargetMode="External"/><Relationship Id="rId14" Type="http://schemas.openxmlformats.org/officeDocument/2006/relationships/hyperlink" Target="https://scholar.google.com/scholar_case?case=17487766613086990829&amp;q=%22Public+Adjustment+Bureau%22&amp;hl=en&amp;as_sdt=6,33&amp;as_ylo=2015" TargetMode="External"/><Relationship Id="rId22" Type="http://schemas.openxmlformats.org/officeDocument/2006/relationships/hyperlink" Target="https://scholar.google.com/scholar_case?case=1007780538639496022&amp;q=%22Public+Adjustment+Bureau%22&amp;hl=en&amp;as_sdt=6,33&amp;as_ylo=2015" TargetMode="External"/><Relationship Id="rId27" Type="http://schemas.openxmlformats.org/officeDocument/2006/relationships/hyperlink" Target="https://scholar.google.com/scholar_case?case=17487766613086990829&amp;q=%22Public+Adjustment+Bureau%22&amp;hl=en&amp;as_sdt=6,33&amp;as_ylo=2015" TargetMode="External"/><Relationship Id="rId30" Type="http://schemas.openxmlformats.org/officeDocument/2006/relationships/hyperlink" Target="https://scholar.google.com/scholar_case?case=13929915089771975548&amp;q=%22Public+Adjustment+Bureau%22&amp;hl=en&amp;as_sdt=6,33&amp;as_ylo=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 Mallin</dc:creator>
  <cp:lastModifiedBy>Joshua L. Mallin</cp:lastModifiedBy>
  <cp:revision>1</cp:revision>
  <dcterms:created xsi:type="dcterms:W3CDTF">2016-06-22T16:23:00Z</dcterms:created>
  <dcterms:modified xsi:type="dcterms:W3CDTF">2016-06-22T16:24:00Z</dcterms:modified>
</cp:coreProperties>
</file>